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0959E">
      <w:pPr>
        <w:spacing w:before="120" w:after="120" w:line="320" w:lineRule="atLeast"/>
        <w:jc w:val="center"/>
        <w:rPr>
          <w:b/>
          <w:bCs/>
          <w:szCs w:val="28"/>
        </w:rPr>
      </w:pPr>
      <w:bookmarkStart w:id="5" w:name="_GoBack"/>
      <w:bookmarkEnd w:id="5"/>
      <w:r>
        <w:rPr>
          <w:b/>
          <w:bCs/>
          <w:szCs w:val="28"/>
        </w:rPr>
        <w:t>Phụ lục: Danh mục, số lượng, yêu cầu về tính năng, yêu cầu kỹ thuật</w:t>
      </w:r>
    </w:p>
    <w:p w14:paraId="01F02287">
      <w:pPr>
        <w:widowControl w:val="0"/>
        <w:spacing w:before="120" w:after="120" w:line="320" w:lineRule="atLeast"/>
        <w:jc w:val="center"/>
        <w:rPr>
          <w:spacing w:val="-4"/>
          <w:szCs w:val="28"/>
          <w:shd w:val="clear" w:color="auto" w:fill="FFFFFF"/>
          <w:lang w:val="en-US"/>
        </w:rPr>
      </w:pPr>
      <w:r>
        <w:rPr>
          <w:b/>
          <w:bCs/>
          <w:sz w:val="26"/>
          <w:szCs w:val="26"/>
        </w:rPr>
        <w:t xml:space="preserve"> </w:t>
      </w:r>
      <w:r>
        <w:rPr>
          <w:bCs/>
          <w:szCs w:val="28"/>
          <w:shd w:val="clear" w:color="auto" w:fill="FFFFFF"/>
          <w:lang w:eastAsia="vi-VN"/>
        </w:rPr>
        <w:t xml:space="preserve">Gói thầu: </w:t>
      </w:r>
      <w:r>
        <w:rPr>
          <w:bCs/>
          <w:szCs w:val="28"/>
        </w:rPr>
        <w:t xml:space="preserve">Mua sắm </w:t>
      </w:r>
      <w:r>
        <w:rPr>
          <w:bCs/>
          <w:szCs w:val="28"/>
          <w:lang w:val="en-US"/>
        </w:rPr>
        <w:t>vật tư cho phẫu thuật Phaco năm 2026</w:t>
      </w:r>
    </w:p>
    <w:p w14:paraId="2A2773D5">
      <w:pPr>
        <w:spacing w:before="120" w:after="120" w:line="320" w:lineRule="atLeast"/>
        <w:jc w:val="center"/>
        <w:rPr>
          <w:i/>
          <w:iCs/>
          <w:szCs w:val="28"/>
        </w:rPr>
      </w:pPr>
      <w:r>
        <w:rPr>
          <w:i/>
          <w:iCs/>
          <w:szCs w:val="28"/>
        </w:rPr>
        <w:t xml:space="preserve"> (Kèm theo yêu cầu báo giá số: 8926</w:t>
      </w:r>
      <w:r>
        <w:rPr>
          <w:rFonts w:eastAsia="Arial"/>
          <w:i/>
          <w:iCs/>
          <w:szCs w:val="28"/>
        </w:rPr>
        <w:t>/YCBG-BVĐKBN2</w:t>
      </w:r>
      <w:r>
        <w:rPr>
          <w:i/>
          <w:iCs/>
          <w:szCs w:val="28"/>
        </w:rPr>
        <w:t xml:space="preserve"> ngày </w:t>
      </w:r>
      <w:r>
        <w:rPr>
          <w:i/>
          <w:iCs/>
          <w:szCs w:val="28"/>
          <w:lang w:val="en-US"/>
        </w:rPr>
        <w:t>17</w:t>
      </w:r>
      <w:r>
        <w:rPr>
          <w:i/>
          <w:iCs/>
          <w:szCs w:val="28"/>
        </w:rPr>
        <w:t>/9/2026 của Bệnh viện đa khoa Bắc Ninh số 2)</w:t>
      </w:r>
    </w:p>
    <w:tbl>
      <w:tblPr>
        <w:tblStyle w:val="4"/>
        <w:tblW w:w="10094" w:type="dxa"/>
        <w:tblInd w:w="-429" w:type="dxa"/>
        <w:tblLayout w:type="fixed"/>
        <w:tblCellMar>
          <w:top w:w="0" w:type="dxa"/>
          <w:left w:w="108" w:type="dxa"/>
          <w:bottom w:w="0" w:type="dxa"/>
          <w:right w:w="108" w:type="dxa"/>
        </w:tblCellMar>
      </w:tblPr>
      <w:tblGrid>
        <w:gridCol w:w="709"/>
        <w:gridCol w:w="1560"/>
        <w:gridCol w:w="6096"/>
        <w:gridCol w:w="862"/>
        <w:gridCol w:w="867"/>
      </w:tblGrid>
      <w:tr w14:paraId="459D23A6">
        <w:tblPrEx>
          <w:tblCellMar>
            <w:top w:w="0" w:type="dxa"/>
            <w:left w:w="108" w:type="dxa"/>
            <w:bottom w:w="0" w:type="dxa"/>
            <w:right w:w="108" w:type="dxa"/>
          </w:tblCellMar>
        </w:tblPrEx>
        <w:trPr>
          <w:trHeight w:val="720" w:hRule="atLeast"/>
          <w:tblHeader/>
        </w:trPr>
        <w:tc>
          <w:tcPr>
            <w:tcW w:w="709" w:type="dxa"/>
            <w:tcBorders>
              <w:top w:val="single" w:color="000000" w:sz="2" w:space="0"/>
              <w:left w:val="single" w:color="000000" w:sz="2" w:space="0"/>
              <w:bottom w:val="single" w:color="000000" w:sz="2" w:space="0"/>
              <w:right w:val="single" w:color="000000" w:sz="2" w:space="0"/>
            </w:tcBorders>
            <w:noWrap/>
            <w:vAlign w:val="center"/>
          </w:tcPr>
          <w:p w14:paraId="58FF6A60">
            <w:pPr>
              <w:spacing w:after="0" w:line="240" w:lineRule="auto"/>
              <w:jc w:val="center"/>
              <w:rPr>
                <w:b/>
                <w:bCs/>
                <w:sz w:val="26"/>
                <w:szCs w:val="26"/>
              </w:rPr>
            </w:pPr>
            <w:bookmarkStart w:id="0" w:name="_Hlk237505887"/>
            <w:r>
              <w:rPr>
                <w:b/>
                <w:bCs/>
                <w:sz w:val="26"/>
                <w:szCs w:val="26"/>
              </w:rPr>
              <w:t>STT</w:t>
            </w:r>
          </w:p>
        </w:tc>
        <w:tc>
          <w:tcPr>
            <w:tcW w:w="1560" w:type="dxa"/>
            <w:tcBorders>
              <w:top w:val="single" w:color="000000" w:sz="2" w:space="0"/>
              <w:left w:val="single" w:color="000000" w:sz="2" w:space="0"/>
              <w:bottom w:val="single" w:color="000000" w:sz="2" w:space="0"/>
              <w:right w:val="single" w:color="000000" w:sz="2" w:space="0"/>
            </w:tcBorders>
            <w:vAlign w:val="center"/>
          </w:tcPr>
          <w:p w14:paraId="64B9F3B6">
            <w:pPr>
              <w:spacing w:after="0" w:line="240" w:lineRule="auto"/>
              <w:jc w:val="center"/>
              <w:textAlignment w:val="center"/>
              <w:rPr>
                <w:b/>
                <w:bCs/>
                <w:sz w:val="26"/>
                <w:szCs w:val="26"/>
              </w:rPr>
            </w:pPr>
            <w:r>
              <w:rPr>
                <w:b/>
                <w:bCs/>
                <w:sz w:val="26"/>
                <w:szCs w:val="26"/>
                <w:lang w:eastAsia="zh-CN" w:bidi="ar"/>
              </w:rPr>
              <w:t>Danh mục hàng hóa</w:t>
            </w:r>
          </w:p>
        </w:tc>
        <w:tc>
          <w:tcPr>
            <w:tcW w:w="6096" w:type="dxa"/>
            <w:tcBorders>
              <w:top w:val="single" w:color="000000" w:sz="2" w:space="0"/>
              <w:left w:val="single" w:color="000000" w:sz="2" w:space="0"/>
              <w:bottom w:val="single" w:color="000000" w:sz="2" w:space="0"/>
              <w:right w:val="single" w:color="000000" w:sz="2" w:space="0"/>
            </w:tcBorders>
            <w:noWrap/>
            <w:vAlign w:val="center"/>
          </w:tcPr>
          <w:p w14:paraId="462D6869">
            <w:pPr>
              <w:spacing w:after="0" w:line="240" w:lineRule="auto"/>
              <w:jc w:val="center"/>
              <w:textAlignment w:val="center"/>
              <w:rPr>
                <w:b/>
                <w:bCs/>
                <w:sz w:val="26"/>
                <w:szCs w:val="26"/>
              </w:rPr>
            </w:pPr>
            <w:r>
              <w:rPr>
                <w:b/>
                <w:bCs/>
                <w:sz w:val="26"/>
                <w:szCs w:val="26"/>
                <w:lang w:eastAsia="zh-CN" w:bidi="ar"/>
              </w:rPr>
              <w:t>Yêu cầu về tính năng, yêu cầu kỹ thuật</w:t>
            </w:r>
          </w:p>
        </w:tc>
        <w:tc>
          <w:tcPr>
            <w:tcW w:w="862" w:type="dxa"/>
            <w:tcBorders>
              <w:top w:val="single" w:color="000000" w:sz="2" w:space="0"/>
              <w:left w:val="single" w:color="000000" w:sz="2" w:space="0"/>
              <w:bottom w:val="single" w:color="000000" w:sz="2" w:space="0"/>
              <w:right w:val="single" w:color="000000" w:sz="2" w:space="0"/>
            </w:tcBorders>
            <w:vAlign w:val="center"/>
          </w:tcPr>
          <w:p w14:paraId="43D1A77B">
            <w:pPr>
              <w:spacing w:after="0" w:line="240" w:lineRule="auto"/>
              <w:jc w:val="center"/>
              <w:textAlignment w:val="center"/>
              <w:rPr>
                <w:b/>
                <w:bCs/>
                <w:sz w:val="26"/>
                <w:szCs w:val="26"/>
                <w:lang w:eastAsia="zh-CN" w:bidi="ar"/>
              </w:rPr>
            </w:pPr>
            <w:r>
              <w:rPr>
                <w:b/>
                <w:bCs/>
                <w:sz w:val="26"/>
                <w:szCs w:val="26"/>
                <w:lang w:eastAsia="zh-CN" w:bidi="ar"/>
              </w:rPr>
              <w:t>Đơn vị tính</w:t>
            </w:r>
          </w:p>
        </w:tc>
        <w:tc>
          <w:tcPr>
            <w:tcW w:w="867" w:type="dxa"/>
            <w:tcBorders>
              <w:top w:val="single" w:color="000000" w:sz="2" w:space="0"/>
              <w:left w:val="single" w:color="000000" w:sz="2" w:space="0"/>
              <w:bottom w:val="single" w:color="000000" w:sz="2" w:space="0"/>
              <w:right w:val="single" w:color="000000" w:sz="2" w:space="0"/>
            </w:tcBorders>
            <w:noWrap/>
            <w:vAlign w:val="center"/>
          </w:tcPr>
          <w:p w14:paraId="24712D4D">
            <w:pPr>
              <w:spacing w:after="0" w:line="240" w:lineRule="auto"/>
              <w:jc w:val="center"/>
              <w:textAlignment w:val="center"/>
              <w:rPr>
                <w:b/>
                <w:bCs/>
                <w:sz w:val="26"/>
                <w:szCs w:val="26"/>
              </w:rPr>
            </w:pPr>
            <w:r>
              <w:rPr>
                <w:b/>
                <w:bCs/>
                <w:sz w:val="26"/>
                <w:szCs w:val="26"/>
                <w:lang w:eastAsia="zh-CN" w:bidi="ar"/>
              </w:rPr>
              <w:t>Số lượng</w:t>
            </w:r>
          </w:p>
        </w:tc>
      </w:tr>
      <w:tr w14:paraId="3C9AACC6">
        <w:tblPrEx>
          <w:tblCellMar>
            <w:top w:w="0" w:type="dxa"/>
            <w:left w:w="108" w:type="dxa"/>
            <w:bottom w:w="0" w:type="dxa"/>
            <w:right w:w="108" w:type="dxa"/>
          </w:tblCellMar>
        </w:tblPrEx>
        <w:trPr>
          <w:trHeight w:val="720" w:hRule="atLeast"/>
        </w:trPr>
        <w:tc>
          <w:tcPr>
            <w:tcW w:w="709" w:type="dxa"/>
            <w:tcBorders>
              <w:top w:val="single" w:color="000000" w:sz="2" w:space="0"/>
              <w:left w:val="single" w:color="000000" w:sz="2" w:space="0"/>
              <w:bottom w:val="single" w:color="000000" w:sz="2" w:space="0"/>
              <w:right w:val="single" w:color="000000" w:sz="2" w:space="0"/>
            </w:tcBorders>
            <w:noWrap/>
            <w:vAlign w:val="center"/>
          </w:tcPr>
          <w:p w14:paraId="7076A204">
            <w:pPr>
              <w:spacing w:after="0" w:line="240" w:lineRule="auto"/>
              <w:jc w:val="center"/>
              <w:textAlignment w:val="center"/>
              <w:rPr>
                <w:sz w:val="26"/>
                <w:szCs w:val="26"/>
                <w:lang w:val="en-US"/>
              </w:rPr>
            </w:pPr>
            <w:r>
              <w:rPr>
                <w:rFonts w:eastAsia="SimSun"/>
                <w:sz w:val="26"/>
                <w:szCs w:val="26"/>
                <w:lang w:val="en-US" w:eastAsia="zh-CN" w:bidi="ar"/>
              </w:rPr>
              <w:t>1</w:t>
            </w:r>
          </w:p>
        </w:tc>
        <w:tc>
          <w:tcPr>
            <w:tcW w:w="1560" w:type="dxa"/>
            <w:tcBorders>
              <w:top w:val="single" w:color="000000" w:sz="2" w:space="0"/>
              <w:left w:val="single" w:color="000000" w:sz="2" w:space="0"/>
              <w:bottom w:val="single" w:color="000000" w:sz="2" w:space="0"/>
              <w:right w:val="single" w:color="000000" w:sz="2" w:space="0"/>
            </w:tcBorders>
            <w:vAlign w:val="center"/>
          </w:tcPr>
          <w:p w14:paraId="3F3E14B1">
            <w:pPr>
              <w:spacing w:after="0" w:line="240" w:lineRule="auto"/>
              <w:textAlignment w:val="center"/>
              <w:rPr>
                <w:sz w:val="26"/>
                <w:szCs w:val="26"/>
              </w:rPr>
            </w:pPr>
            <w:r>
              <w:rPr>
                <w:color w:val="000000"/>
                <w:sz w:val="26"/>
                <w:szCs w:val="26"/>
              </w:rPr>
              <w:t>Thuỷ tinh thể nhân tạo</w:t>
            </w:r>
          </w:p>
        </w:tc>
        <w:tc>
          <w:tcPr>
            <w:tcW w:w="6096" w:type="dxa"/>
            <w:tcBorders>
              <w:top w:val="single" w:color="000000" w:sz="2" w:space="0"/>
              <w:left w:val="single" w:color="000000" w:sz="2" w:space="0"/>
              <w:bottom w:val="single" w:color="000000" w:sz="2" w:space="0"/>
              <w:right w:val="single" w:color="000000" w:sz="2" w:space="0"/>
            </w:tcBorders>
          </w:tcPr>
          <w:p w14:paraId="1908A610">
            <w:pPr>
              <w:spacing w:after="0" w:line="240" w:lineRule="auto"/>
              <w:jc w:val="both"/>
              <w:textAlignment w:val="center"/>
              <w:rPr>
                <w:color w:val="000000"/>
                <w:sz w:val="26"/>
                <w:szCs w:val="26"/>
              </w:rPr>
            </w:pPr>
            <w:r>
              <w:rPr>
                <w:color w:val="000000"/>
                <w:sz w:val="26"/>
                <w:szCs w:val="26"/>
              </w:rPr>
              <w:t>- Loại thủy tinh thể: mềm, 1 mảnh</w:t>
            </w:r>
          </w:p>
          <w:p w14:paraId="482E806C">
            <w:pPr>
              <w:spacing w:after="0" w:line="240" w:lineRule="auto"/>
              <w:jc w:val="both"/>
              <w:textAlignment w:val="center"/>
              <w:rPr>
                <w:color w:val="000000"/>
                <w:sz w:val="26"/>
                <w:szCs w:val="26"/>
              </w:rPr>
            </w:pPr>
            <w:r>
              <w:rPr>
                <w:color w:val="000000"/>
                <w:sz w:val="26"/>
                <w:szCs w:val="26"/>
              </w:rPr>
              <w:t>- Thủy tinh thể có thể lọc được tia cực tím (UV), lọc ánh sáng xanh</w:t>
            </w:r>
          </w:p>
          <w:p w14:paraId="32F3B84F">
            <w:pPr>
              <w:spacing w:after="0" w:line="240" w:lineRule="auto"/>
              <w:jc w:val="both"/>
              <w:textAlignment w:val="center"/>
              <w:rPr>
                <w:color w:val="000000"/>
                <w:sz w:val="26"/>
                <w:szCs w:val="26"/>
              </w:rPr>
            </w:pPr>
            <w:r>
              <w:rPr>
                <w:color w:val="000000"/>
                <w:sz w:val="26"/>
                <w:szCs w:val="26"/>
              </w:rPr>
              <w:t>- Điểm hội tụ: đơn tiêu</w:t>
            </w:r>
          </w:p>
          <w:p w14:paraId="528F2FFD">
            <w:pPr>
              <w:spacing w:after="0" w:line="240" w:lineRule="auto"/>
              <w:jc w:val="both"/>
              <w:textAlignment w:val="center"/>
              <w:rPr>
                <w:color w:val="000000"/>
                <w:sz w:val="26"/>
                <w:szCs w:val="26"/>
              </w:rPr>
            </w:pPr>
            <w:r>
              <w:rPr>
                <w:color w:val="000000"/>
                <w:sz w:val="26"/>
                <w:szCs w:val="26"/>
              </w:rPr>
              <w:t>- Thiết kế: 2 càng hoặc 4 càng</w:t>
            </w:r>
          </w:p>
          <w:p w14:paraId="3D91358F">
            <w:pPr>
              <w:spacing w:after="0" w:line="240" w:lineRule="auto"/>
              <w:jc w:val="both"/>
              <w:textAlignment w:val="center"/>
              <w:rPr>
                <w:color w:val="000000"/>
                <w:sz w:val="26"/>
                <w:szCs w:val="26"/>
              </w:rPr>
            </w:pPr>
            <w:r>
              <w:rPr>
                <w:color w:val="000000"/>
                <w:sz w:val="26"/>
                <w:szCs w:val="26"/>
              </w:rPr>
              <w:t>- Tổng chiều dài kính trong khoảng từ 11 mm đến 13 mm</w:t>
            </w:r>
          </w:p>
          <w:p w14:paraId="5A4A1DE7">
            <w:pPr>
              <w:spacing w:after="0" w:line="240" w:lineRule="auto"/>
              <w:jc w:val="both"/>
              <w:textAlignment w:val="center"/>
              <w:rPr>
                <w:color w:val="000000"/>
                <w:sz w:val="26"/>
                <w:szCs w:val="26"/>
              </w:rPr>
            </w:pPr>
            <w:r>
              <w:rPr>
                <w:color w:val="000000"/>
                <w:sz w:val="26"/>
                <w:szCs w:val="26"/>
              </w:rPr>
              <w:t>- Đường kính optic trong khoảng từ 5.5 mm đến 6.00 mm</w:t>
            </w:r>
          </w:p>
          <w:p w14:paraId="3BC8A98E">
            <w:pPr>
              <w:spacing w:after="0" w:line="240" w:lineRule="auto"/>
              <w:jc w:val="both"/>
              <w:textAlignment w:val="center"/>
              <w:rPr>
                <w:color w:val="000000"/>
                <w:sz w:val="26"/>
                <w:szCs w:val="26"/>
              </w:rPr>
            </w:pPr>
            <w:r>
              <w:rPr>
                <w:color w:val="000000"/>
                <w:sz w:val="26"/>
                <w:szCs w:val="26"/>
              </w:rPr>
              <w:t>- Chỉ số khúc xạ: ≥ 1.45</w:t>
            </w:r>
          </w:p>
          <w:p w14:paraId="5C599F93">
            <w:pPr>
              <w:spacing w:after="0" w:line="240" w:lineRule="auto"/>
              <w:jc w:val="both"/>
              <w:textAlignment w:val="center"/>
              <w:rPr>
                <w:color w:val="000000"/>
                <w:sz w:val="26"/>
                <w:szCs w:val="26"/>
              </w:rPr>
            </w:pPr>
            <w:r>
              <w:rPr>
                <w:color w:val="000000"/>
                <w:sz w:val="26"/>
                <w:szCs w:val="26"/>
              </w:rPr>
              <w:t>- Dải công suất: theo tiêu chuẩn nhà sản xuất</w:t>
            </w:r>
          </w:p>
          <w:p w14:paraId="41FFB744">
            <w:pPr>
              <w:spacing w:after="0" w:line="240" w:lineRule="auto"/>
              <w:jc w:val="both"/>
              <w:textAlignment w:val="center"/>
              <w:rPr>
                <w:color w:val="000000"/>
                <w:sz w:val="26"/>
                <w:szCs w:val="26"/>
              </w:rPr>
            </w:pPr>
            <w:r>
              <w:rPr>
                <w:color w:val="000000"/>
                <w:sz w:val="26"/>
                <w:szCs w:val="26"/>
              </w:rPr>
              <w:t>- Thủy tinh thể được lắp sẵn trong catridge hoặc cung cấp cùng catridge</w:t>
            </w:r>
          </w:p>
          <w:p w14:paraId="7D22BF8E">
            <w:pPr>
              <w:spacing w:after="0" w:line="240" w:lineRule="auto"/>
              <w:jc w:val="both"/>
              <w:textAlignment w:val="center"/>
              <w:rPr>
                <w:sz w:val="26"/>
                <w:szCs w:val="26"/>
              </w:rPr>
            </w:pPr>
            <w:r>
              <w:rPr>
                <w:sz w:val="26"/>
                <w:szCs w:val="26"/>
              </w:rPr>
              <w:t>- Đạt tối thiểu chứng nhận/ chứng chỉ: FDA (Mỹ)</w:t>
            </w:r>
          </w:p>
          <w:p w14:paraId="467B1FD3">
            <w:pPr>
              <w:spacing w:after="0" w:line="240" w:lineRule="auto"/>
              <w:jc w:val="both"/>
              <w:textAlignment w:val="center"/>
              <w:rPr>
                <w:sz w:val="26"/>
                <w:szCs w:val="26"/>
              </w:rPr>
            </w:pPr>
            <w:r>
              <w:rPr>
                <w:sz w:val="26"/>
                <w:szCs w:val="26"/>
              </w:rPr>
              <w:t>hoặc CE (Châu Âu)</w:t>
            </w:r>
          </w:p>
          <w:p w14:paraId="69E9486E">
            <w:pPr>
              <w:spacing w:after="0" w:line="240" w:lineRule="auto"/>
              <w:jc w:val="both"/>
              <w:textAlignment w:val="center"/>
              <w:rPr>
                <w:color w:val="000000"/>
                <w:sz w:val="26"/>
                <w:szCs w:val="26"/>
              </w:rPr>
            </w:pPr>
            <w:r>
              <w:rPr>
                <w:color w:val="000000"/>
                <w:sz w:val="26"/>
                <w:szCs w:val="26"/>
              </w:rPr>
              <w:t>- Xuất xứ: G7 (Mỹ, Nhật Bản, Đức, Anh, Pháp, Ý, Canada) hoặc Châu Âu</w:t>
            </w:r>
          </w:p>
        </w:tc>
        <w:tc>
          <w:tcPr>
            <w:tcW w:w="862" w:type="dxa"/>
            <w:tcBorders>
              <w:top w:val="single" w:color="000000" w:sz="2" w:space="0"/>
              <w:left w:val="single" w:color="000000" w:sz="2" w:space="0"/>
              <w:bottom w:val="single" w:color="000000" w:sz="2" w:space="0"/>
              <w:right w:val="single" w:color="000000" w:sz="2" w:space="0"/>
            </w:tcBorders>
            <w:vAlign w:val="center"/>
          </w:tcPr>
          <w:p w14:paraId="37A66EBF">
            <w:pPr>
              <w:spacing w:after="0" w:line="240" w:lineRule="auto"/>
              <w:jc w:val="center"/>
              <w:textAlignment w:val="center"/>
              <w:rPr>
                <w:color w:val="000000"/>
                <w:sz w:val="26"/>
                <w:szCs w:val="26"/>
              </w:rPr>
            </w:pPr>
            <w:r>
              <w:rPr>
                <w:color w:val="000000"/>
                <w:sz w:val="26"/>
                <w:szCs w:val="26"/>
              </w:rPr>
              <w:t>Cái</w:t>
            </w:r>
          </w:p>
        </w:tc>
        <w:tc>
          <w:tcPr>
            <w:tcW w:w="867" w:type="dxa"/>
            <w:tcBorders>
              <w:top w:val="single" w:color="000000" w:sz="2" w:space="0"/>
              <w:left w:val="single" w:color="000000" w:sz="2" w:space="0"/>
              <w:bottom w:val="single" w:color="000000" w:sz="2" w:space="0"/>
              <w:right w:val="single" w:color="000000" w:sz="2" w:space="0"/>
            </w:tcBorders>
            <w:noWrap/>
            <w:vAlign w:val="center"/>
          </w:tcPr>
          <w:p w14:paraId="1C73A79F">
            <w:pPr>
              <w:spacing w:after="0" w:line="240" w:lineRule="auto"/>
              <w:jc w:val="center"/>
              <w:textAlignment w:val="center"/>
              <w:rPr>
                <w:sz w:val="26"/>
                <w:szCs w:val="26"/>
              </w:rPr>
            </w:pPr>
            <w:r>
              <w:rPr>
                <w:color w:val="000000"/>
                <w:sz w:val="26"/>
                <w:szCs w:val="26"/>
              </w:rPr>
              <w:t>120</w:t>
            </w:r>
          </w:p>
        </w:tc>
      </w:tr>
      <w:tr w14:paraId="4373B685">
        <w:tblPrEx>
          <w:tblCellMar>
            <w:top w:w="0" w:type="dxa"/>
            <w:left w:w="108" w:type="dxa"/>
            <w:bottom w:w="0" w:type="dxa"/>
            <w:right w:w="108" w:type="dxa"/>
          </w:tblCellMar>
        </w:tblPrEx>
        <w:trPr>
          <w:trHeight w:val="720" w:hRule="atLeast"/>
        </w:trPr>
        <w:tc>
          <w:tcPr>
            <w:tcW w:w="709" w:type="dxa"/>
            <w:tcBorders>
              <w:top w:val="single" w:color="000000" w:sz="2" w:space="0"/>
              <w:left w:val="single" w:color="000000" w:sz="2" w:space="0"/>
              <w:bottom w:val="single" w:color="000000" w:sz="2" w:space="0"/>
              <w:right w:val="single" w:color="000000" w:sz="2" w:space="0"/>
            </w:tcBorders>
            <w:noWrap/>
            <w:vAlign w:val="center"/>
          </w:tcPr>
          <w:p w14:paraId="0A794E45">
            <w:pPr>
              <w:spacing w:after="0" w:line="240" w:lineRule="auto"/>
              <w:jc w:val="center"/>
              <w:textAlignment w:val="center"/>
              <w:rPr>
                <w:sz w:val="26"/>
                <w:szCs w:val="26"/>
                <w:lang w:val="en-US"/>
              </w:rPr>
            </w:pPr>
            <w:r>
              <w:rPr>
                <w:rFonts w:eastAsia="SimSun"/>
                <w:sz w:val="26"/>
                <w:szCs w:val="26"/>
                <w:lang w:val="en-US" w:eastAsia="zh-CN" w:bidi="ar"/>
              </w:rPr>
              <w:t>2</w:t>
            </w:r>
          </w:p>
        </w:tc>
        <w:tc>
          <w:tcPr>
            <w:tcW w:w="1560" w:type="dxa"/>
            <w:tcBorders>
              <w:top w:val="single" w:color="000000" w:sz="2" w:space="0"/>
              <w:left w:val="single" w:color="000000" w:sz="2" w:space="0"/>
              <w:bottom w:val="single" w:color="000000" w:sz="2" w:space="0"/>
              <w:right w:val="single" w:color="000000" w:sz="2" w:space="0"/>
            </w:tcBorders>
            <w:vAlign w:val="center"/>
          </w:tcPr>
          <w:p w14:paraId="4FD3AF20">
            <w:pPr>
              <w:spacing w:after="0" w:line="240" w:lineRule="auto"/>
              <w:textAlignment w:val="center"/>
              <w:rPr>
                <w:sz w:val="26"/>
                <w:szCs w:val="26"/>
              </w:rPr>
            </w:pPr>
            <w:r>
              <w:rPr>
                <w:color w:val="000000"/>
                <w:sz w:val="26"/>
                <w:szCs w:val="26"/>
              </w:rPr>
              <w:t>Dịch nhày dùng trong</w:t>
            </w:r>
            <w:r>
              <w:rPr>
                <w:color w:val="000000"/>
                <w:sz w:val="26"/>
                <w:szCs w:val="26"/>
              </w:rPr>
              <w:br w:type="textWrapping"/>
            </w:r>
            <w:r>
              <w:rPr>
                <w:color w:val="000000"/>
                <w:sz w:val="26"/>
                <w:szCs w:val="26"/>
              </w:rPr>
              <w:t>phẫu thuật mắt</w:t>
            </w:r>
          </w:p>
        </w:tc>
        <w:tc>
          <w:tcPr>
            <w:tcW w:w="6096" w:type="dxa"/>
            <w:tcBorders>
              <w:top w:val="single" w:color="000000" w:sz="2" w:space="0"/>
              <w:left w:val="single" w:color="000000" w:sz="2" w:space="0"/>
              <w:bottom w:val="single" w:color="000000" w:sz="2" w:space="0"/>
              <w:right w:val="single" w:color="000000" w:sz="2" w:space="0"/>
            </w:tcBorders>
            <w:vAlign w:val="center"/>
          </w:tcPr>
          <w:p w14:paraId="57DC9BD6">
            <w:pPr>
              <w:spacing w:after="0" w:line="240" w:lineRule="auto"/>
              <w:textAlignment w:val="center"/>
              <w:rPr>
                <w:color w:val="000000"/>
                <w:sz w:val="26"/>
                <w:szCs w:val="26"/>
              </w:rPr>
            </w:pPr>
            <w:r>
              <w:rPr>
                <w:color w:val="000000"/>
                <w:sz w:val="26"/>
                <w:szCs w:val="26"/>
              </w:rPr>
              <w:t>- Dịch nhày dùng trong phẫu thuật mắt</w:t>
            </w:r>
          </w:p>
          <w:p w14:paraId="5B596244">
            <w:pPr>
              <w:spacing w:after="0" w:line="240" w:lineRule="auto"/>
              <w:textAlignment w:val="center"/>
              <w:rPr>
                <w:color w:val="000000"/>
                <w:sz w:val="26"/>
                <w:szCs w:val="26"/>
              </w:rPr>
            </w:pPr>
            <w:r>
              <w:rPr>
                <w:color w:val="000000"/>
                <w:sz w:val="26"/>
                <w:szCs w:val="26"/>
              </w:rPr>
              <w:t>- Thành phần: Hydroxypropyl methylcellulose 2%</w:t>
            </w:r>
          </w:p>
          <w:p w14:paraId="231985AC">
            <w:pPr>
              <w:spacing w:after="0" w:line="240" w:lineRule="auto"/>
              <w:textAlignment w:val="center"/>
              <w:rPr>
                <w:color w:val="000000"/>
                <w:sz w:val="26"/>
                <w:szCs w:val="26"/>
              </w:rPr>
            </w:pPr>
            <w:r>
              <w:rPr>
                <w:color w:val="000000"/>
                <w:sz w:val="26"/>
                <w:szCs w:val="26"/>
              </w:rPr>
              <w:t>- Đóng gói: tối thiểu 2ml/ống</w:t>
            </w:r>
          </w:p>
          <w:p w14:paraId="1E1508F9">
            <w:pPr>
              <w:spacing w:after="0" w:line="240" w:lineRule="auto"/>
              <w:textAlignment w:val="center"/>
              <w:rPr>
                <w:color w:val="000000"/>
                <w:sz w:val="26"/>
                <w:szCs w:val="26"/>
              </w:rPr>
            </w:pPr>
            <w:r>
              <w:rPr>
                <w:color w:val="000000"/>
                <w:sz w:val="26"/>
                <w:szCs w:val="26"/>
              </w:rPr>
              <w:t>- Đã được tiệt trùng</w:t>
            </w:r>
          </w:p>
        </w:tc>
        <w:tc>
          <w:tcPr>
            <w:tcW w:w="862" w:type="dxa"/>
            <w:tcBorders>
              <w:top w:val="single" w:color="000000" w:sz="2" w:space="0"/>
              <w:left w:val="single" w:color="000000" w:sz="2" w:space="0"/>
              <w:bottom w:val="single" w:color="000000" w:sz="2" w:space="0"/>
              <w:right w:val="single" w:color="000000" w:sz="2" w:space="0"/>
            </w:tcBorders>
            <w:vAlign w:val="center"/>
          </w:tcPr>
          <w:p w14:paraId="4E20A6EA">
            <w:pPr>
              <w:spacing w:after="0" w:line="240" w:lineRule="auto"/>
              <w:jc w:val="center"/>
              <w:textAlignment w:val="center"/>
              <w:rPr>
                <w:color w:val="000000"/>
                <w:sz w:val="26"/>
                <w:szCs w:val="26"/>
              </w:rPr>
            </w:pPr>
            <w:r>
              <w:rPr>
                <w:color w:val="000000"/>
                <w:sz w:val="26"/>
                <w:szCs w:val="26"/>
              </w:rPr>
              <w:t>Ống</w:t>
            </w:r>
          </w:p>
        </w:tc>
        <w:tc>
          <w:tcPr>
            <w:tcW w:w="867" w:type="dxa"/>
            <w:tcBorders>
              <w:top w:val="single" w:color="000000" w:sz="2" w:space="0"/>
              <w:left w:val="single" w:color="000000" w:sz="2" w:space="0"/>
              <w:bottom w:val="single" w:color="000000" w:sz="2" w:space="0"/>
              <w:right w:val="single" w:color="000000" w:sz="2" w:space="0"/>
            </w:tcBorders>
            <w:vAlign w:val="center"/>
          </w:tcPr>
          <w:p w14:paraId="6ECCEC36">
            <w:pPr>
              <w:spacing w:after="0" w:line="240" w:lineRule="auto"/>
              <w:jc w:val="center"/>
              <w:textAlignment w:val="center"/>
              <w:rPr>
                <w:sz w:val="26"/>
                <w:szCs w:val="26"/>
              </w:rPr>
            </w:pPr>
            <w:r>
              <w:rPr>
                <w:color w:val="000000"/>
                <w:sz w:val="26"/>
                <w:szCs w:val="26"/>
              </w:rPr>
              <w:t>120</w:t>
            </w:r>
          </w:p>
        </w:tc>
      </w:tr>
      <w:tr w14:paraId="0AB6717C">
        <w:tblPrEx>
          <w:tblCellMar>
            <w:top w:w="0" w:type="dxa"/>
            <w:left w:w="108" w:type="dxa"/>
            <w:bottom w:w="0" w:type="dxa"/>
            <w:right w:w="108" w:type="dxa"/>
          </w:tblCellMar>
        </w:tblPrEx>
        <w:trPr>
          <w:trHeight w:val="232" w:hRule="atLeast"/>
        </w:trPr>
        <w:tc>
          <w:tcPr>
            <w:tcW w:w="709" w:type="dxa"/>
            <w:tcBorders>
              <w:top w:val="single" w:color="000000" w:sz="2" w:space="0"/>
              <w:left w:val="single" w:color="000000" w:sz="2" w:space="0"/>
              <w:bottom w:val="single" w:color="000000" w:sz="2" w:space="0"/>
              <w:right w:val="single" w:color="000000" w:sz="2" w:space="0"/>
            </w:tcBorders>
            <w:noWrap/>
            <w:vAlign w:val="center"/>
          </w:tcPr>
          <w:p w14:paraId="74AF19A9">
            <w:pPr>
              <w:spacing w:after="0" w:line="240" w:lineRule="auto"/>
              <w:jc w:val="center"/>
              <w:textAlignment w:val="center"/>
              <w:rPr>
                <w:sz w:val="26"/>
                <w:szCs w:val="26"/>
                <w:lang w:val="en-US"/>
              </w:rPr>
            </w:pPr>
            <w:r>
              <w:rPr>
                <w:rFonts w:eastAsia="SimSun"/>
                <w:sz w:val="26"/>
                <w:szCs w:val="26"/>
                <w:lang w:val="en-US" w:eastAsia="zh-CN" w:bidi="ar"/>
              </w:rPr>
              <w:t>3</w:t>
            </w:r>
          </w:p>
        </w:tc>
        <w:tc>
          <w:tcPr>
            <w:tcW w:w="1560" w:type="dxa"/>
            <w:tcBorders>
              <w:top w:val="single" w:color="000000" w:sz="2" w:space="0"/>
              <w:left w:val="single" w:color="000000" w:sz="2" w:space="0"/>
              <w:bottom w:val="single" w:color="000000" w:sz="2" w:space="0"/>
              <w:right w:val="single" w:color="000000" w:sz="2" w:space="0"/>
            </w:tcBorders>
            <w:vAlign w:val="center"/>
          </w:tcPr>
          <w:p w14:paraId="37FF5662">
            <w:pPr>
              <w:spacing w:after="0" w:line="240" w:lineRule="auto"/>
              <w:textAlignment w:val="center"/>
              <w:rPr>
                <w:sz w:val="26"/>
                <w:szCs w:val="26"/>
              </w:rPr>
            </w:pPr>
            <w:r>
              <w:rPr>
                <w:color w:val="000000"/>
                <w:sz w:val="26"/>
                <w:szCs w:val="26"/>
              </w:rPr>
              <w:t>Chất nhuộm bao trong phẫu thuật mắt</w:t>
            </w:r>
          </w:p>
        </w:tc>
        <w:tc>
          <w:tcPr>
            <w:tcW w:w="6096" w:type="dxa"/>
            <w:tcBorders>
              <w:top w:val="single" w:color="000000" w:sz="2" w:space="0"/>
              <w:left w:val="single" w:color="000000" w:sz="2" w:space="0"/>
              <w:bottom w:val="single" w:color="000000" w:sz="2" w:space="0"/>
              <w:right w:val="single" w:color="000000" w:sz="2" w:space="0"/>
            </w:tcBorders>
            <w:vAlign w:val="center"/>
          </w:tcPr>
          <w:p w14:paraId="0113FBF5">
            <w:pPr>
              <w:spacing w:after="0" w:line="240" w:lineRule="auto"/>
              <w:textAlignment w:val="center"/>
              <w:rPr>
                <w:color w:val="000000"/>
                <w:sz w:val="26"/>
                <w:szCs w:val="26"/>
              </w:rPr>
            </w:pPr>
            <w:r>
              <w:rPr>
                <w:color w:val="000000"/>
                <w:sz w:val="26"/>
                <w:szCs w:val="26"/>
              </w:rPr>
              <w:t>- Chất nhuộm bao trong phẫu thuật mắt</w:t>
            </w:r>
          </w:p>
          <w:p w14:paraId="283B2040">
            <w:pPr>
              <w:spacing w:after="0" w:line="240" w:lineRule="auto"/>
              <w:textAlignment w:val="center"/>
              <w:rPr>
                <w:color w:val="000000"/>
                <w:sz w:val="26"/>
                <w:szCs w:val="26"/>
              </w:rPr>
            </w:pPr>
            <w:r>
              <w:rPr>
                <w:color w:val="000000"/>
                <w:sz w:val="26"/>
                <w:szCs w:val="26"/>
              </w:rPr>
              <w:t>- Thành phần: Trypan Blue 0.06%</w:t>
            </w:r>
          </w:p>
          <w:p w14:paraId="241B695D">
            <w:pPr>
              <w:spacing w:after="0" w:line="240" w:lineRule="auto"/>
              <w:textAlignment w:val="center"/>
              <w:rPr>
                <w:color w:val="000000"/>
                <w:sz w:val="26"/>
                <w:szCs w:val="26"/>
              </w:rPr>
            </w:pPr>
            <w:r>
              <w:rPr>
                <w:color w:val="000000"/>
                <w:sz w:val="26"/>
                <w:szCs w:val="26"/>
              </w:rPr>
              <w:t>- Đóng gói: tối thiểu 1ml/lọ</w:t>
            </w:r>
          </w:p>
          <w:p w14:paraId="693AC5E7">
            <w:pPr>
              <w:spacing w:after="0" w:line="240" w:lineRule="auto"/>
              <w:textAlignment w:val="center"/>
              <w:rPr>
                <w:color w:val="000000"/>
                <w:sz w:val="26"/>
                <w:szCs w:val="26"/>
              </w:rPr>
            </w:pPr>
            <w:r>
              <w:rPr>
                <w:color w:val="000000"/>
                <w:sz w:val="26"/>
                <w:szCs w:val="26"/>
              </w:rPr>
              <w:t>- Đã được tiệt trùng</w:t>
            </w:r>
          </w:p>
        </w:tc>
        <w:tc>
          <w:tcPr>
            <w:tcW w:w="862" w:type="dxa"/>
            <w:tcBorders>
              <w:top w:val="single" w:color="000000" w:sz="2" w:space="0"/>
              <w:left w:val="single" w:color="000000" w:sz="2" w:space="0"/>
              <w:bottom w:val="single" w:color="000000" w:sz="2" w:space="0"/>
              <w:right w:val="single" w:color="000000" w:sz="2" w:space="0"/>
            </w:tcBorders>
            <w:vAlign w:val="center"/>
          </w:tcPr>
          <w:p w14:paraId="5ED92DBB">
            <w:pPr>
              <w:spacing w:after="0" w:line="240" w:lineRule="auto"/>
              <w:jc w:val="center"/>
              <w:textAlignment w:val="center"/>
              <w:rPr>
                <w:color w:val="000000"/>
                <w:sz w:val="26"/>
                <w:szCs w:val="26"/>
              </w:rPr>
            </w:pPr>
            <w:r>
              <w:rPr>
                <w:color w:val="000000"/>
                <w:sz w:val="26"/>
                <w:szCs w:val="26"/>
              </w:rPr>
              <w:t>Lọ</w:t>
            </w:r>
          </w:p>
        </w:tc>
        <w:tc>
          <w:tcPr>
            <w:tcW w:w="867" w:type="dxa"/>
            <w:tcBorders>
              <w:top w:val="single" w:color="000000" w:sz="2" w:space="0"/>
              <w:left w:val="single" w:color="000000" w:sz="2" w:space="0"/>
              <w:bottom w:val="single" w:color="000000" w:sz="2" w:space="0"/>
              <w:right w:val="single" w:color="000000" w:sz="2" w:space="0"/>
            </w:tcBorders>
            <w:vAlign w:val="center"/>
          </w:tcPr>
          <w:p w14:paraId="179A7E05">
            <w:pPr>
              <w:spacing w:after="0" w:line="240" w:lineRule="auto"/>
              <w:jc w:val="center"/>
              <w:textAlignment w:val="center"/>
              <w:rPr>
                <w:sz w:val="26"/>
                <w:szCs w:val="26"/>
              </w:rPr>
            </w:pPr>
            <w:r>
              <w:rPr>
                <w:color w:val="000000"/>
                <w:sz w:val="26"/>
                <w:szCs w:val="26"/>
              </w:rPr>
              <w:t>30</w:t>
            </w:r>
          </w:p>
        </w:tc>
      </w:tr>
      <w:tr w14:paraId="111DF68B">
        <w:tblPrEx>
          <w:tblCellMar>
            <w:top w:w="0" w:type="dxa"/>
            <w:left w:w="108" w:type="dxa"/>
            <w:bottom w:w="0" w:type="dxa"/>
            <w:right w:w="108" w:type="dxa"/>
          </w:tblCellMar>
        </w:tblPrEx>
        <w:trPr>
          <w:trHeight w:val="720" w:hRule="atLeast"/>
        </w:trPr>
        <w:tc>
          <w:tcPr>
            <w:tcW w:w="709" w:type="dxa"/>
            <w:tcBorders>
              <w:top w:val="single" w:color="000000" w:sz="2" w:space="0"/>
              <w:left w:val="single" w:color="000000" w:sz="2" w:space="0"/>
              <w:bottom w:val="single" w:color="000000" w:sz="2" w:space="0"/>
              <w:right w:val="single" w:color="000000" w:sz="2" w:space="0"/>
            </w:tcBorders>
            <w:noWrap/>
            <w:vAlign w:val="center"/>
          </w:tcPr>
          <w:p w14:paraId="5509D2CD">
            <w:pPr>
              <w:spacing w:after="0" w:line="240" w:lineRule="auto"/>
              <w:jc w:val="center"/>
              <w:textAlignment w:val="center"/>
              <w:rPr>
                <w:sz w:val="26"/>
                <w:szCs w:val="26"/>
                <w:lang w:val="en-US"/>
              </w:rPr>
            </w:pPr>
            <w:r>
              <w:rPr>
                <w:sz w:val="26"/>
                <w:szCs w:val="26"/>
                <w:lang w:val="en-US"/>
              </w:rPr>
              <w:t>4</w:t>
            </w:r>
          </w:p>
        </w:tc>
        <w:tc>
          <w:tcPr>
            <w:tcW w:w="1560" w:type="dxa"/>
            <w:tcBorders>
              <w:top w:val="single" w:color="000000" w:sz="2" w:space="0"/>
              <w:left w:val="single" w:color="000000" w:sz="2" w:space="0"/>
              <w:bottom w:val="single" w:color="000000" w:sz="2" w:space="0"/>
              <w:right w:val="single" w:color="000000" w:sz="2" w:space="0"/>
            </w:tcBorders>
            <w:vAlign w:val="center"/>
          </w:tcPr>
          <w:p w14:paraId="07F5E238">
            <w:pPr>
              <w:spacing w:after="0" w:line="240" w:lineRule="auto"/>
              <w:textAlignment w:val="center"/>
              <w:rPr>
                <w:sz w:val="26"/>
                <w:szCs w:val="26"/>
              </w:rPr>
            </w:pPr>
            <w:r>
              <w:rPr>
                <w:color w:val="000000"/>
                <w:sz w:val="26"/>
                <w:szCs w:val="26"/>
              </w:rPr>
              <w:t xml:space="preserve">Dao mổ sử dụng trong phẫu thuật Phaco </w:t>
            </w:r>
          </w:p>
        </w:tc>
        <w:tc>
          <w:tcPr>
            <w:tcW w:w="6096" w:type="dxa"/>
            <w:tcBorders>
              <w:top w:val="single" w:color="000000" w:sz="2" w:space="0"/>
              <w:left w:val="single" w:color="000000" w:sz="2" w:space="0"/>
              <w:bottom w:val="single" w:color="000000" w:sz="2" w:space="0"/>
              <w:right w:val="single" w:color="000000" w:sz="2" w:space="0"/>
            </w:tcBorders>
            <w:vAlign w:val="center"/>
          </w:tcPr>
          <w:p w14:paraId="72733DBD">
            <w:pPr>
              <w:spacing w:after="0" w:line="240" w:lineRule="auto"/>
              <w:textAlignment w:val="center"/>
              <w:rPr>
                <w:color w:val="000000"/>
                <w:sz w:val="26"/>
                <w:szCs w:val="26"/>
              </w:rPr>
            </w:pPr>
            <w:r>
              <w:rPr>
                <w:color w:val="000000"/>
                <w:sz w:val="26"/>
                <w:szCs w:val="26"/>
              </w:rPr>
              <w:t xml:space="preserve">- Lưỡi dao làm bằng thép không gỉ. </w:t>
            </w:r>
          </w:p>
          <w:p w14:paraId="10021053">
            <w:pPr>
              <w:spacing w:after="0" w:line="240" w:lineRule="auto"/>
              <w:textAlignment w:val="center"/>
              <w:rPr>
                <w:color w:val="000000"/>
                <w:sz w:val="26"/>
                <w:szCs w:val="26"/>
              </w:rPr>
            </w:pPr>
            <w:r>
              <w:rPr>
                <w:color w:val="000000"/>
                <w:sz w:val="26"/>
                <w:szCs w:val="26"/>
              </w:rPr>
              <w:t xml:space="preserve">- Kích thước: trong khoảng từ 2.8 mm đến 2.9 mm </w:t>
            </w:r>
          </w:p>
          <w:p w14:paraId="50A52AB5">
            <w:pPr>
              <w:spacing w:after="0" w:line="240" w:lineRule="auto"/>
              <w:textAlignment w:val="center"/>
              <w:rPr>
                <w:rFonts w:eastAsia="SimSun"/>
                <w:sz w:val="26"/>
                <w:szCs w:val="26"/>
                <w:lang w:eastAsia="zh-CN" w:bidi="ar"/>
              </w:rPr>
            </w:pPr>
            <w:r>
              <w:rPr>
                <w:color w:val="000000"/>
                <w:sz w:val="26"/>
                <w:szCs w:val="26"/>
              </w:rPr>
              <w:t>- Đã được tiệt trùng</w:t>
            </w:r>
          </w:p>
        </w:tc>
        <w:tc>
          <w:tcPr>
            <w:tcW w:w="862" w:type="dxa"/>
            <w:tcBorders>
              <w:top w:val="single" w:color="000000" w:sz="2" w:space="0"/>
              <w:left w:val="single" w:color="000000" w:sz="2" w:space="0"/>
              <w:bottom w:val="single" w:color="000000" w:sz="2" w:space="0"/>
              <w:right w:val="single" w:color="000000" w:sz="2" w:space="0"/>
            </w:tcBorders>
            <w:vAlign w:val="center"/>
          </w:tcPr>
          <w:p w14:paraId="767A83D8">
            <w:pPr>
              <w:spacing w:after="0" w:line="240" w:lineRule="auto"/>
              <w:jc w:val="center"/>
              <w:textAlignment w:val="center"/>
              <w:rPr>
                <w:color w:val="000000"/>
                <w:sz w:val="26"/>
                <w:szCs w:val="26"/>
              </w:rPr>
            </w:pPr>
            <w:r>
              <w:rPr>
                <w:color w:val="000000"/>
                <w:sz w:val="26"/>
                <w:szCs w:val="26"/>
              </w:rPr>
              <w:t>Cái</w:t>
            </w:r>
          </w:p>
        </w:tc>
        <w:tc>
          <w:tcPr>
            <w:tcW w:w="867" w:type="dxa"/>
            <w:tcBorders>
              <w:top w:val="single" w:color="000000" w:sz="2" w:space="0"/>
              <w:left w:val="single" w:color="000000" w:sz="2" w:space="0"/>
              <w:bottom w:val="single" w:color="000000" w:sz="2" w:space="0"/>
              <w:right w:val="single" w:color="000000" w:sz="2" w:space="0"/>
            </w:tcBorders>
            <w:vAlign w:val="center"/>
          </w:tcPr>
          <w:p w14:paraId="4FB48F37">
            <w:pPr>
              <w:spacing w:after="0" w:line="240" w:lineRule="auto"/>
              <w:jc w:val="center"/>
              <w:textAlignment w:val="center"/>
              <w:rPr>
                <w:sz w:val="26"/>
                <w:szCs w:val="26"/>
              </w:rPr>
            </w:pPr>
            <w:r>
              <w:rPr>
                <w:color w:val="000000"/>
                <w:sz w:val="26"/>
                <w:szCs w:val="26"/>
              </w:rPr>
              <w:t>120</w:t>
            </w:r>
          </w:p>
        </w:tc>
      </w:tr>
      <w:tr w14:paraId="11B42EB1">
        <w:tblPrEx>
          <w:tblCellMar>
            <w:top w:w="0" w:type="dxa"/>
            <w:left w:w="108" w:type="dxa"/>
            <w:bottom w:w="0" w:type="dxa"/>
            <w:right w:w="108" w:type="dxa"/>
          </w:tblCellMar>
        </w:tblPrEx>
        <w:trPr>
          <w:trHeight w:val="720" w:hRule="atLeast"/>
        </w:trPr>
        <w:tc>
          <w:tcPr>
            <w:tcW w:w="709" w:type="dxa"/>
            <w:tcBorders>
              <w:top w:val="single" w:color="000000" w:sz="2" w:space="0"/>
              <w:left w:val="single" w:color="000000" w:sz="2" w:space="0"/>
              <w:bottom w:val="single" w:color="000000" w:sz="2" w:space="0"/>
              <w:right w:val="single" w:color="000000" w:sz="2" w:space="0"/>
            </w:tcBorders>
            <w:noWrap/>
            <w:vAlign w:val="center"/>
          </w:tcPr>
          <w:p w14:paraId="4C0E53B9">
            <w:pPr>
              <w:spacing w:after="0" w:line="240" w:lineRule="auto"/>
              <w:jc w:val="center"/>
              <w:textAlignment w:val="center"/>
              <w:rPr>
                <w:rFonts w:eastAsia="SimSun"/>
                <w:sz w:val="26"/>
                <w:szCs w:val="26"/>
                <w:lang w:val="en-US" w:eastAsia="zh-CN" w:bidi="ar"/>
              </w:rPr>
            </w:pPr>
            <w:r>
              <w:rPr>
                <w:rFonts w:eastAsia="SimSun"/>
                <w:sz w:val="26"/>
                <w:szCs w:val="26"/>
                <w:lang w:val="en-US" w:eastAsia="zh-CN" w:bidi="ar"/>
              </w:rPr>
              <w:t>5</w:t>
            </w:r>
          </w:p>
        </w:tc>
        <w:tc>
          <w:tcPr>
            <w:tcW w:w="1560" w:type="dxa"/>
            <w:tcBorders>
              <w:top w:val="single" w:color="000000" w:sz="2" w:space="0"/>
              <w:left w:val="single" w:color="000000" w:sz="2" w:space="0"/>
              <w:bottom w:val="single" w:color="000000" w:sz="2" w:space="0"/>
              <w:right w:val="single" w:color="000000" w:sz="2" w:space="0"/>
            </w:tcBorders>
            <w:vAlign w:val="center"/>
          </w:tcPr>
          <w:p w14:paraId="2F43EF3F">
            <w:pPr>
              <w:spacing w:after="0" w:line="240" w:lineRule="auto"/>
              <w:textAlignment w:val="center"/>
              <w:rPr>
                <w:sz w:val="26"/>
                <w:szCs w:val="26"/>
              </w:rPr>
            </w:pPr>
            <w:r>
              <w:rPr>
                <w:color w:val="000000"/>
                <w:sz w:val="26"/>
                <w:szCs w:val="26"/>
              </w:rPr>
              <w:t>Dao mổ sử dụng trong phẫu thuật Phaco 15 độ</w:t>
            </w:r>
          </w:p>
        </w:tc>
        <w:tc>
          <w:tcPr>
            <w:tcW w:w="6096" w:type="dxa"/>
            <w:tcBorders>
              <w:top w:val="single" w:color="000000" w:sz="2" w:space="0"/>
              <w:left w:val="single" w:color="000000" w:sz="2" w:space="0"/>
              <w:bottom w:val="single" w:color="000000" w:sz="2" w:space="0"/>
              <w:right w:val="single" w:color="000000" w:sz="2" w:space="0"/>
            </w:tcBorders>
            <w:vAlign w:val="center"/>
          </w:tcPr>
          <w:p w14:paraId="1C7A27BF">
            <w:pPr>
              <w:spacing w:after="0" w:line="240" w:lineRule="auto"/>
              <w:textAlignment w:val="center"/>
              <w:rPr>
                <w:color w:val="000000"/>
                <w:sz w:val="26"/>
                <w:szCs w:val="26"/>
              </w:rPr>
            </w:pPr>
            <w:r>
              <w:rPr>
                <w:color w:val="000000"/>
                <w:sz w:val="26"/>
                <w:szCs w:val="26"/>
              </w:rPr>
              <w:t xml:space="preserve">- Lưỡi dao làm bằng thép không gỉ </w:t>
            </w:r>
          </w:p>
          <w:p w14:paraId="6D7CD354">
            <w:pPr>
              <w:spacing w:after="0" w:line="240" w:lineRule="auto"/>
              <w:textAlignment w:val="center"/>
              <w:rPr>
                <w:color w:val="000000"/>
                <w:sz w:val="26"/>
                <w:szCs w:val="26"/>
              </w:rPr>
            </w:pPr>
            <w:r>
              <w:rPr>
                <w:color w:val="000000"/>
                <w:sz w:val="26"/>
                <w:szCs w:val="26"/>
              </w:rPr>
              <w:t>- Tạo độ mở rộng góc 15 độ</w:t>
            </w:r>
          </w:p>
          <w:p w14:paraId="2C3EB34D">
            <w:pPr>
              <w:spacing w:after="0" w:line="240" w:lineRule="auto"/>
              <w:textAlignment w:val="center"/>
              <w:rPr>
                <w:rFonts w:eastAsia="SimSun"/>
                <w:sz w:val="26"/>
                <w:szCs w:val="26"/>
                <w:lang w:eastAsia="zh-CN" w:bidi="ar"/>
              </w:rPr>
            </w:pPr>
            <w:r>
              <w:rPr>
                <w:color w:val="000000"/>
                <w:sz w:val="26"/>
                <w:szCs w:val="26"/>
              </w:rPr>
              <w:t>- Đã được tiệt trùng</w:t>
            </w:r>
          </w:p>
        </w:tc>
        <w:tc>
          <w:tcPr>
            <w:tcW w:w="862" w:type="dxa"/>
            <w:tcBorders>
              <w:top w:val="single" w:color="000000" w:sz="2" w:space="0"/>
              <w:left w:val="single" w:color="000000" w:sz="2" w:space="0"/>
              <w:bottom w:val="single" w:color="000000" w:sz="2" w:space="0"/>
              <w:right w:val="single" w:color="000000" w:sz="2" w:space="0"/>
            </w:tcBorders>
            <w:vAlign w:val="center"/>
          </w:tcPr>
          <w:p w14:paraId="10FDA4F1">
            <w:pPr>
              <w:spacing w:after="0" w:line="240" w:lineRule="auto"/>
              <w:jc w:val="center"/>
              <w:textAlignment w:val="center"/>
              <w:rPr>
                <w:color w:val="000000"/>
                <w:sz w:val="26"/>
                <w:szCs w:val="26"/>
              </w:rPr>
            </w:pPr>
            <w:r>
              <w:rPr>
                <w:color w:val="000000"/>
                <w:sz w:val="26"/>
                <w:szCs w:val="26"/>
              </w:rPr>
              <w:t>Cái</w:t>
            </w:r>
          </w:p>
        </w:tc>
        <w:tc>
          <w:tcPr>
            <w:tcW w:w="867" w:type="dxa"/>
            <w:tcBorders>
              <w:top w:val="single" w:color="000000" w:sz="2" w:space="0"/>
              <w:left w:val="single" w:color="000000" w:sz="2" w:space="0"/>
              <w:bottom w:val="single" w:color="000000" w:sz="2" w:space="0"/>
              <w:right w:val="single" w:color="000000" w:sz="2" w:space="0"/>
            </w:tcBorders>
            <w:vAlign w:val="center"/>
          </w:tcPr>
          <w:p w14:paraId="28224070">
            <w:pPr>
              <w:spacing w:after="0" w:line="240" w:lineRule="auto"/>
              <w:jc w:val="center"/>
              <w:textAlignment w:val="center"/>
              <w:rPr>
                <w:sz w:val="26"/>
                <w:szCs w:val="26"/>
              </w:rPr>
            </w:pPr>
            <w:r>
              <w:rPr>
                <w:color w:val="000000"/>
                <w:sz w:val="26"/>
                <w:szCs w:val="26"/>
              </w:rPr>
              <w:t>120</w:t>
            </w:r>
          </w:p>
        </w:tc>
      </w:tr>
      <w:bookmarkEnd w:id="0"/>
    </w:tbl>
    <w:p w14:paraId="18536049">
      <w:pPr>
        <w:rPr>
          <w:i/>
          <w:iCs/>
          <w:szCs w:val="28"/>
        </w:rPr>
      </w:pPr>
    </w:p>
    <w:p w14:paraId="4FA875A7">
      <w:pPr>
        <w:tabs>
          <w:tab w:val="center" w:pos="4535"/>
        </w:tabs>
        <w:rPr>
          <w:sz w:val="26"/>
          <w:szCs w:val="20"/>
        </w:rPr>
      </w:pPr>
    </w:p>
    <w:p w14:paraId="7C728A9D">
      <w:pPr>
        <w:spacing w:after="60" w:line="240" w:lineRule="auto"/>
        <w:jc w:val="center"/>
        <w:rPr>
          <w:rFonts w:cs="Times New Roman"/>
          <w:b/>
          <w:color w:val="000000" w:themeColor="text1"/>
          <w:szCs w:val="28"/>
          <w:lang w:val="en-US"/>
          <w14:textFill>
            <w14:solidFill>
              <w14:schemeClr w14:val="tx1"/>
            </w14:solidFill>
          </w14:textFill>
        </w:rPr>
        <w:sectPr>
          <w:footerReference r:id="rId5" w:type="default"/>
          <w:pgSz w:w="11906" w:h="16838"/>
          <w:pgMar w:top="1134" w:right="1134" w:bottom="1134" w:left="1701" w:header="709" w:footer="709" w:gutter="0"/>
          <w:cols w:space="0" w:num="1"/>
          <w:docGrid w:linePitch="381" w:charSpace="0"/>
        </w:sectPr>
      </w:pPr>
    </w:p>
    <w:p w14:paraId="25A15FE5">
      <w:pPr>
        <w:widowControl w:val="0"/>
        <w:spacing w:after="0" w:line="240" w:lineRule="auto"/>
        <w:jc w:val="center"/>
        <w:rPr>
          <w:rFonts w:cs="Times New Roman"/>
          <w:b/>
          <w:bCs/>
          <w:szCs w:val="28"/>
          <w:shd w:val="clear" w:color="auto" w:fill="FFFFFF"/>
          <w:lang w:eastAsia="vi-VN"/>
        </w:rPr>
      </w:pPr>
      <w:bookmarkStart w:id="1" w:name="_Hlk180570894"/>
      <w:bookmarkStart w:id="2" w:name="_Hlk180570931"/>
      <w:r>
        <w:rPr>
          <w:rFonts w:cs="Times New Roman"/>
          <w:b/>
          <w:bCs/>
          <w:szCs w:val="28"/>
          <w:shd w:val="clear" w:color="auto" w:fill="FFFFFF"/>
          <w:lang w:eastAsia="vi-VN"/>
        </w:rPr>
        <w:t>Mẫu báo giá</w:t>
      </w:r>
    </w:p>
    <w:p w14:paraId="7930D3AF">
      <w:pPr>
        <w:spacing w:after="60" w:line="240" w:lineRule="auto"/>
        <w:jc w:val="center"/>
        <w:rPr>
          <w:rFonts w:cs="Times New Roman"/>
          <w:b/>
          <w:bCs/>
          <w:szCs w:val="28"/>
          <w:shd w:val="clear" w:color="auto" w:fill="FFFFFF"/>
          <w:lang w:val="en-US" w:eastAsia="vi-VN"/>
        </w:rPr>
      </w:pPr>
      <w:r>
        <w:rPr>
          <w:rFonts w:cs="Times New Roman"/>
          <w:b/>
          <w:spacing w:val="-6"/>
          <w:szCs w:val="28"/>
          <w:shd w:val="clear" w:color="auto" w:fill="FFFFFF"/>
        </w:rPr>
        <w:t xml:space="preserve">Gói thầu </w:t>
      </w:r>
      <w:r>
        <w:rPr>
          <w:rFonts w:cs="Times New Roman"/>
          <w:b/>
          <w:bCs/>
          <w:szCs w:val="28"/>
        </w:rPr>
        <w:t xml:space="preserve">Mua sắm </w:t>
      </w:r>
      <w:r>
        <w:rPr>
          <w:rFonts w:cs="Times New Roman"/>
          <w:b/>
          <w:bCs/>
          <w:szCs w:val="28"/>
          <w:lang w:val="en-US"/>
        </w:rPr>
        <w:t>vật tư cho phẫu thuật Phaco năm 2026</w:t>
      </w:r>
    </w:p>
    <w:p w14:paraId="01FDE381">
      <w:pPr>
        <w:spacing w:after="60" w:line="240" w:lineRule="auto"/>
        <w:jc w:val="center"/>
        <w:rPr>
          <w:rFonts w:cs="Times New Roman"/>
          <w:b/>
          <w:bCs/>
          <w:szCs w:val="28"/>
          <w:shd w:val="clear" w:color="auto" w:fill="FFFFFF"/>
          <w:lang w:eastAsia="vi-VN"/>
        </w:rPr>
      </w:pPr>
      <w:r>
        <w:rPr>
          <w:rFonts w:cs="Times New Roman"/>
          <w:b/>
          <w:bCs/>
          <w:szCs w:val="28"/>
          <w:shd w:val="clear" w:color="auto" w:fill="FFFFFF"/>
          <w:lang w:eastAsia="vi-VN"/>
        </w:rPr>
        <w:t>BÁO GIÁ</w:t>
      </w:r>
    </w:p>
    <w:p w14:paraId="0CA69012">
      <w:pPr>
        <w:widowControl w:val="0"/>
        <w:spacing w:after="120" w:line="240" w:lineRule="auto"/>
        <w:jc w:val="center"/>
        <w:rPr>
          <w:rFonts w:cs="Times New Roman"/>
          <w:bCs/>
          <w:szCs w:val="28"/>
          <w:shd w:val="clear" w:color="auto" w:fill="FFFFFF"/>
          <w:lang w:eastAsia="vi-VN"/>
        </w:rPr>
      </w:pPr>
      <w:bookmarkStart w:id="3" w:name="bookmark9"/>
      <w:bookmarkStart w:id="4" w:name="bookmark8"/>
      <w:r>
        <w:rPr>
          <w:rFonts w:cs="Times New Roman"/>
          <w:bCs/>
          <w:szCs w:val="28"/>
          <w:shd w:val="clear" w:color="auto" w:fill="FFFFFF"/>
          <w:lang w:eastAsia="vi-VN"/>
        </w:rPr>
        <w:t>Kính gửi: ... [ghi rõ tên của Chủ đầu tư yêu cầu báo giá</w:t>
      </w:r>
      <w:bookmarkEnd w:id="3"/>
      <w:bookmarkEnd w:id="4"/>
      <w:r>
        <w:rPr>
          <w:rFonts w:cs="Times New Roman"/>
          <w:bCs/>
          <w:szCs w:val="28"/>
          <w:shd w:val="clear" w:color="auto" w:fill="FFFFFF"/>
          <w:lang w:eastAsia="vi-VN"/>
        </w:rPr>
        <w:t>]</w:t>
      </w:r>
    </w:p>
    <w:p w14:paraId="0401FF8D">
      <w:pPr>
        <w:spacing w:after="60" w:line="240" w:lineRule="auto"/>
        <w:ind w:firstLine="567"/>
        <w:jc w:val="both"/>
        <w:rPr>
          <w:rFonts w:cs="Times New Roman"/>
          <w:bCs/>
          <w:szCs w:val="28"/>
          <w:shd w:val="clear" w:color="auto" w:fill="FFFFFF"/>
          <w:lang w:val="en-US" w:eastAsia="vi-VN"/>
        </w:rPr>
      </w:pPr>
    </w:p>
    <w:p w14:paraId="70A972C8">
      <w:pPr>
        <w:spacing w:after="120" w:line="320" w:lineRule="exact"/>
        <w:ind w:firstLine="567"/>
        <w:jc w:val="both"/>
        <w:rPr>
          <w:rFonts w:cs="Times New Roman"/>
          <w:b/>
          <w:color w:val="000000"/>
        </w:rPr>
      </w:pPr>
      <w:r>
        <w:rPr>
          <w:rFonts w:cs="Times New Roman"/>
          <w:bCs/>
          <w:szCs w:val="28"/>
          <w:shd w:val="clear" w:color="auto" w:fill="FFFFFF"/>
          <w:lang w:eastAsia="vi-VN"/>
        </w:rPr>
        <w:t xml:space="preserve">Trên cơ sở yêu cầu báo giá của.... </w:t>
      </w:r>
      <w:r>
        <w:rPr>
          <w:rFonts w:cs="Times New Roman"/>
          <w:bCs/>
          <w:i/>
          <w:iCs/>
          <w:szCs w:val="28"/>
          <w:shd w:val="clear" w:color="auto" w:fill="FFFFFF"/>
          <w:lang w:eastAsia="vi-VN"/>
        </w:rPr>
        <w:t>[ghi rõ tên của Chủ đầu tư yêu cầu báo giá],</w:t>
      </w:r>
      <w:r>
        <w:rPr>
          <w:rFonts w:cs="Times New Roman"/>
          <w:bCs/>
          <w:szCs w:val="28"/>
          <w:shd w:val="clear" w:color="auto" w:fill="FFFFFF"/>
          <w:lang w:eastAsia="vi-VN"/>
        </w:rPr>
        <w:t xml:space="preserve"> chúng </w:t>
      </w:r>
      <w:r>
        <w:rPr>
          <w:rFonts w:cs="Times New Roman"/>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rFonts w:cs="Times New Roman"/>
          <w:bCs/>
          <w:szCs w:val="28"/>
          <w:shd w:val="clear" w:color="auto" w:fill="FFFFFF"/>
          <w:lang w:eastAsia="vi-VN"/>
        </w:rPr>
        <w:t xml:space="preserve"> báo giá </w:t>
      </w:r>
      <w:r>
        <w:rPr>
          <w:rFonts w:cs="Times New Roman"/>
          <w:bCs/>
          <w:szCs w:val="28"/>
        </w:rPr>
        <w:t xml:space="preserve">Mua sắm </w:t>
      </w:r>
      <w:r>
        <w:rPr>
          <w:rFonts w:cs="Times New Roman"/>
          <w:bCs/>
          <w:szCs w:val="28"/>
          <w:lang w:val="en-US"/>
        </w:rPr>
        <w:t>vật tư cho phẫu thuật Phaco năm 2026</w:t>
      </w:r>
      <w:r>
        <w:rPr>
          <w:rFonts w:cs="Times New Roman"/>
          <w:b/>
          <w:bCs/>
          <w:szCs w:val="28"/>
          <w:shd w:val="clear" w:color="auto" w:fill="FFFFFF"/>
          <w:lang w:val="en-US" w:eastAsia="vi-VN"/>
        </w:rPr>
        <w:t xml:space="preserve"> </w:t>
      </w:r>
      <w:r>
        <w:rPr>
          <w:rFonts w:cs="Times New Roman"/>
          <w:bCs/>
          <w:szCs w:val="28"/>
          <w:shd w:val="clear" w:color="auto" w:fill="FFFFFF"/>
          <w:lang w:eastAsia="vi-VN"/>
        </w:rPr>
        <w:t>như sau:</w:t>
      </w:r>
    </w:p>
    <w:p w14:paraId="633C62BF">
      <w:pPr>
        <w:widowControl w:val="0"/>
        <w:spacing w:after="120" w:line="320" w:lineRule="exact"/>
        <w:ind w:firstLine="567"/>
        <w:jc w:val="both"/>
        <w:rPr>
          <w:rFonts w:cs="Times New Roman"/>
          <w:bCs/>
          <w:szCs w:val="28"/>
          <w:lang w:val="en-US"/>
        </w:rPr>
      </w:pPr>
      <w:r>
        <w:rPr>
          <w:rFonts w:cs="Times New Roman"/>
          <w:bCs/>
          <w:szCs w:val="28"/>
          <w:shd w:val="clear" w:color="auto" w:fill="FFFFFF"/>
          <w:lang w:val="en-US" w:eastAsia="vi-VN"/>
        </w:rPr>
        <w:t>1.</w:t>
      </w:r>
      <w:r>
        <w:rPr>
          <w:rFonts w:cs="Times New Roman"/>
          <w:bCs/>
          <w:szCs w:val="28"/>
          <w:shd w:val="clear" w:color="auto" w:fill="FFFFFF"/>
          <w:lang w:eastAsia="vi-VN"/>
        </w:rPr>
        <w:t xml:space="preserve"> Báo giá </w:t>
      </w:r>
      <w:r>
        <w:rPr>
          <w:rFonts w:cs="Times New Roman"/>
          <w:bCs/>
          <w:szCs w:val="28"/>
        </w:rPr>
        <w:t xml:space="preserve">Mua sắm </w:t>
      </w:r>
      <w:r>
        <w:rPr>
          <w:rFonts w:cs="Times New Roman"/>
          <w:bCs/>
          <w:szCs w:val="28"/>
          <w:lang w:val="en-US"/>
        </w:rPr>
        <w:t>vật tư cho phẫu thuật Phaco</w:t>
      </w:r>
      <w:r>
        <w:rPr>
          <w:rFonts w:cs="Times New Roman"/>
          <w:bCs/>
          <w:szCs w:val="28"/>
        </w:rPr>
        <w:t xml:space="preserve"> năm 2026</w:t>
      </w:r>
      <w:r>
        <w:rPr>
          <w:rFonts w:cs="Times New Roman"/>
          <w:bCs/>
          <w:szCs w:val="28"/>
          <w:lang w:val="en-US"/>
        </w:rPr>
        <w:t>:</w:t>
      </w:r>
    </w:p>
    <w:tbl>
      <w:tblPr>
        <w:tblStyle w:val="4"/>
        <w:tblW w:w="48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2"/>
        <w:gridCol w:w="889"/>
        <w:gridCol w:w="1446"/>
        <w:gridCol w:w="1243"/>
        <w:gridCol w:w="962"/>
        <w:gridCol w:w="1044"/>
        <w:gridCol w:w="1044"/>
        <w:gridCol w:w="1063"/>
        <w:gridCol w:w="959"/>
        <w:gridCol w:w="830"/>
        <w:gridCol w:w="841"/>
        <w:gridCol w:w="1123"/>
        <w:gridCol w:w="890"/>
        <w:gridCol w:w="838"/>
      </w:tblGrid>
      <w:tr w14:paraId="4F3D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4" w:hRule="atLeast"/>
          <w:jc w:val="center"/>
        </w:trPr>
        <w:tc>
          <w:tcPr>
            <w:tcW w:w="7" w:type="pct"/>
            <w:shd w:val="clear" w:color="auto" w:fill="FFFFFF"/>
            <w:vAlign w:val="center"/>
          </w:tcPr>
          <w:p w14:paraId="17AA91F2">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STT</w:t>
            </w:r>
          </w:p>
        </w:tc>
        <w:tc>
          <w:tcPr>
            <w:tcW w:w="339" w:type="pct"/>
            <w:shd w:val="clear" w:color="auto" w:fill="FFFFFF"/>
            <w:vAlign w:val="center"/>
          </w:tcPr>
          <w:p w14:paraId="0E7B4BA3">
            <w:pPr>
              <w:widowControl w:val="0"/>
              <w:jc w:val="center"/>
              <w:rPr>
                <w:rFonts w:cs="Times New Roman"/>
                <w:b/>
                <w:bCs/>
                <w:color w:val="000000" w:themeColor="text1"/>
                <w:sz w:val="26"/>
                <w:szCs w:val="26"/>
                <w:shd w:val="clear" w:color="auto" w:fill="FFFFFF"/>
                <w:lang w:eastAsia="vi-VN"/>
                <w14:textFill>
                  <w14:solidFill>
                    <w14:schemeClr w14:val="tx1"/>
                  </w14:solidFill>
                </w14:textFill>
              </w:rPr>
            </w:pPr>
            <w:r>
              <w:rPr>
                <w:rFonts w:cs="Times New Roman"/>
                <w:b/>
                <w:sz w:val="26"/>
                <w:szCs w:val="26"/>
                <w:lang w:eastAsia="vi-VN"/>
              </w:rPr>
              <w:t>STT theo yêu cầu báo giá</w:t>
            </w:r>
          </w:p>
        </w:tc>
        <w:tc>
          <w:tcPr>
            <w:tcW w:w="542" w:type="pct"/>
            <w:shd w:val="clear" w:color="auto" w:fill="FFFFFF"/>
            <w:vAlign w:val="center"/>
          </w:tcPr>
          <w:p w14:paraId="33D576B5">
            <w:pPr>
              <w:widowControl w:val="0"/>
              <w:jc w:val="center"/>
              <w:rPr>
                <w:rFonts w:cs="Times New Roman"/>
                <w:b/>
                <w:bCs/>
                <w:sz w:val="26"/>
                <w:szCs w:val="26"/>
                <w:shd w:val="clear" w:color="auto" w:fill="FFFFFF"/>
                <w:lang w:eastAsia="vi-VN"/>
              </w:rPr>
            </w:pPr>
            <w:r>
              <w:rPr>
                <w:rFonts w:cs="Times New Roman"/>
                <w:b/>
                <w:bCs/>
                <w:color w:val="000000" w:themeColor="text1"/>
                <w:sz w:val="26"/>
                <w:szCs w:val="26"/>
                <w:shd w:val="clear" w:color="auto" w:fill="FFFFFF"/>
                <w:lang w:eastAsia="vi-VN"/>
                <w14:textFill>
                  <w14:solidFill>
                    <w14:schemeClr w14:val="tx1"/>
                  </w14:solidFill>
                </w14:textFill>
              </w:rPr>
              <w:t>Danh mục hàng hóa</w:t>
            </w:r>
          </w:p>
        </w:tc>
        <w:tc>
          <w:tcPr>
            <w:tcW w:w="468" w:type="pct"/>
            <w:shd w:val="clear" w:color="auto" w:fill="FFFFFF"/>
            <w:vAlign w:val="center"/>
          </w:tcPr>
          <w:p w14:paraId="25A96260">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Ký, mã, nhãn hiệu, model</w:t>
            </w:r>
          </w:p>
        </w:tc>
        <w:tc>
          <w:tcPr>
            <w:tcW w:w="365" w:type="pct"/>
            <w:shd w:val="clear" w:color="auto" w:fill="FFFFFF"/>
            <w:vAlign w:val="center"/>
          </w:tcPr>
          <w:p w14:paraId="53E40AE0">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Hãng sản xuất</w:t>
            </w:r>
          </w:p>
        </w:tc>
        <w:tc>
          <w:tcPr>
            <w:tcW w:w="395" w:type="pct"/>
            <w:shd w:val="clear" w:color="auto" w:fill="FFFFFF"/>
            <w:vAlign w:val="center"/>
          </w:tcPr>
          <w:p w14:paraId="51D81BFF">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Quy cách đóng gói (nếu có)</w:t>
            </w:r>
          </w:p>
        </w:tc>
        <w:tc>
          <w:tcPr>
            <w:tcW w:w="395" w:type="pct"/>
            <w:shd w:val="clear" w:color="auto" w:fill="FFFFFF"/>
            <w:vAlign w:val="center"/>
          </w:tcPr>
          <w:p w14:paraId="653E6280">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Đặc tính kỹ thuật, thông số kỹ thuật</w:t>
            </w:r>
          </w:p>
        </w:tc>
        <w:tc>
          <w:tcPr>
            <w:tcW w:w="402" w:type="pct"/>
            <w:shd w:val="clear" w:color="auto" w:fill="FFFFFF"/>
            <w:vAlign w:val="center"/>
          </w:tcPr>
          <w:p w14:paraId="3FB39732">
            <w:pPr>
              <w:widowControl w:val="0"/>
              <w:jc w:val="center"/>
              <w:rPr>
                <w:rFonts w:cs="Times New Roman"/>
                <w:b/>
                <w:bCs/>
                <w:sz w:val="26"/>
                <w:szCs w:val="26"/>
                <w:shd w:val="clear" w:color="auto" w:fill="FFFFFF"/>
                <w:vertAlign w:val="superscript"/>
                <w:lang w:eastAsia="vi-VN"/>
              </w:rPr>
            </w:pPr>
            <w:r>
              <w:rPr>
                <w:rFonts w:cs="Times New Roman"/>
                <w:b/>
                <w:bCs/>
                <w:sz w:val="26"/>
                <w:szCs w:val="26"/>
                <w:shd w:val="clear" w:color="auto" w:fill="FFFFFF"/>
                <w:lang w:eastAsia="vi-VN"/>
              </w:rPr>
              <w:t>Mã HS (nếu có)</w:t>
            </w:r>
          </w:p>
        </w:tc>
        <w:tc>
          <w:tcPr>
            <w:tcW w:w="364" w:type="pct"/>
            <w:shd w:val="clear" w:color="auto" w:fill="FFFFFF"/>
            <w:vAlign w:val="center"/>
          </w:tcPr>
          <w:p w14:paraId="369AFF32">
            <w:pPr>
              <w:widowControl w:val="0"/>
              <w:jc w:val="center"/>
              <w:rPr>
                <w:rFonts w:cs="Times New Roman"/>
                <w:b/>
                <w:bCs/>
                <w:sz w:val="26"/>
                <w:szCs w:val="26"/>
                <w:shd w:val="clear" w:color="auto" w:fill="FFFFFF"/>
                <w:vertAlign w:val="superscript"/>
                <w:lang w:eastAsia="vi-VN"/>
              </w:rPr>
            </w:pPr>
            <w:r>
              <w:rPr>
                <w:rFonts w:cs="Times New Roman"/>
                <w:b/>
                <w:bCs/>
                <w:sz w:val="26"/>
                <w:szCs w:val="26"/>
                <w:shd w:val="clear" w:color="auto" w:fill="FFFFFF"/>
                <w:lang w:eastAsia="vi-VN"/>
              </w:rPr>
              <w:t>Nước sản xuất</w:t>
            </w:r>
          </w:p>
        </w:tc>
        <w:tc>
          <w:tcPr>
            <w:tcW w:w="317" w:type="pct"/>
            <w:shd w:val="clear" w:color="auto" w:fill="FFFFFF"/>
            <w:vAlign w:val="center"/>
          </w:tcPr>
          <w:p w14:paraId="55D1C1DB">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Số lượng</w:t>
            </w:r>
          </w:p>
        </w:tc>
        <w:tc>
          <w:tcPr>
            <w:tcW w:w="321" w:type="pct"/>
            <w:shd w:val="clear" w:color="auto" w:fill="FFFFFF"/>
            <w:vAlign w:val="center"/>
          </w:tcPr>
          <w:p w14:paraId="098CC0BD">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Đơn vị tính</w:t>
            </w:r>
          </w:p>
        </w:tc>
        <w:tc>
          <w:tcPr>
            <w:tcW w:w="424" w:type="pct"/>
            <w:shd w:val="clear" w:color="auto" w:fill="FFFFFF"/>
            <w:vAlign w:val="center"/>
          </w:tcPr>
          <w:p w14:paraId="665A39F0">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Đơn giá (VND)</w:t>
            </w:r>
          </w:p>
        </w:tc>
        <w:tc>
          <w:tcPr>
            <w:tcW w:w="339" w:type="pct"/>
            <w:shd w:val="clear" w:color="auto" w:fill="FFFFFF"/>
            <w:vAlign w:val="center"/>
          </w:tcPr>
          <w:p w14:paraId="469544C3">
            <w:pPr>
              <w:widowControl w:val="0"/>
              <w:spacing w:after="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Thành tiền</w:t>
            </w:r>
          </w:p>
          <w:p w14:paraId="053129D2">
            <w:pPr>
              <w:widowControl w:val="0"/>
              <w:spacing w:after="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(VND)</w:t>
            </w:r>
          </w:p>
        </w:tc>
        <w:tc>
          <w:tcPr>
            <w:tcW w:w="320" w:type="pct"/>
            <w:shd w:val="clear" w:color="auto" w:fill="FFFFFF"/>
            <w:vAlign w:val="center"/>
          </w:tcPr>
          <w:p w14:paraId="571D7E50">
            <w:pPr>
              <w:widowControl w:val="0"/>
              <w:jc w:val="center"/>
              <w:rPr>
                <w:rFonts w:cs="Times New Roman"/>
                <w:b/>
                <w:bCs/>
                <w:sz w:val="26"/>
                <w:szCs w:val="26"/>
                <w:shd w:val="clear" w:color="auto" w:fill="FFFFFF"/>
                <w:lang w:eastAsia="vi-VN"/>
              </w:rPr>
            </w:pPr>
            <w:r>
              <w:rPr>
                <w:rFonts w:cs="Times New Roman"/>
                <w:b/>
                <w:bCs/>
                <w:sz w:val="26"/>
                <w:szCs w:val="26"/>
                <w:shd w:val="clear" w:color="auto" w:fill="FFFFFF"/>
                <w:lang w:eastAsia="vi-VN"/>
              </w:rPr>
              <w:t>Thuế suất (%)</w:t>
            </w:r>
          </w:p>
        </w:tc>
      </w:tr>
      <w:tr w14:paraId="5FCD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 w:type="pct"/>
            <w:shd w:val="clear" w:color="auto" w:fill="FFFFFF"/>
            <w:vAlign w:val="bottom"/>
          </w:tcPr>
          <w:p w14:paraId="0A047D2C">
            <w:pPr>
              <w:widowControl w:val="0"/>
              <w:rPr>
                <w:rFonts w:cs="Times New Roman"/>
                <w:bCs/>
                <w:sz w:val="26"/>
                <w:szCs w:val="26"/>
                <w:shd w:val="clear" w:color="auto" w:fill="FFFFFF"/>
                <w:lang w:eastAsia="vi-VN"/>
              </w:rPr>
            </w:pPr>
            <w:r>
              <w:rPr>
                <w:rFonts w:cs="Times New Roman"/>
                <w:bCs/>
                <w:sz w:val="26"/>
                <w:szCs w:val="26"/>
                <w:shd w:val="clear" w:color="auto" w:fill="FFFFFF"/>
                <w:lang w:eastAsia="vi-VN"/>
              </w:rPr>
              <w:t>1</w:t>
            </w:r>
          </w:p>
        </w:tc>
        <w:tc>
          <w:tcPr>
            <w:tcW w:w="339" w:type="pct"/>
            <w:shd w:val="clear" w:color="auto" w:fill="FFFFFF"/>
          </w:tcPr>
          <w:p w14:paraId="1A15BE18">
            <w:pPr>
              <w:widowControl w:val="0"/>
              <w:rPr>
                <w:rFonts w:cs="Times New Roman"/>
                <w:bCs/>
                <w:sz w:val="26"/>
                <w:szCs w:val="26"/>
                <w:shd w:val="clear" w:color="auto" w:fill="FFFFFF"/>
                <w:lang w:eastAsia="vi-VN"/>
              </w:rPr>
            </w:pPr>
          </w:p>
        </w:tc>
        <w:tc>
          <w:tcPr>
            <w:tcW w:w="542" w:type="pct"/>
            <w:shd w:val="clear" w:color="auto" w:fill="FFFFFF"/>
            <w:vAlign w:val="center"/>
          </w:tcPr>
          <w:p w14:paraId="35E50B93">
            <w:pPr>
              <w:widowControl w:val="0"/>
              <w:rPr>
                <w:rFonts w:cs="Times New Roman"/>
                <w:bCs/>
                <w:sz w:val="26"/>
                <w:szCs w:val="26"/>
                <w:shd w:val="clear" w:color="auto" w:fill="FFFFFF"/>
                <w:lang w:eastAsia="vi-VN"/>
              </w:rPr>
            </w:pPr>
            <w:r>
              <w:rPr>
                <w:rFonts w:cs="Times New Roman"/>
                <w:bCs/>
                <w:sz w:val="26"/>
                <w:szCs w:val="26"/>
                <w:shd w:val="clear" w:color="auto" w:fill="FFFFFF"/>
                <w:lang w:eastAsia="vi-VN"/>
              </w:rPr>
              <w:t>Hàng hoá A</w:t>
            </w:r>
          </w:p>
        </w:tc>
        <w:tc>
          <w:tcPr>
            <w:tcW w:w="468" w:type="pct"/>
            <w:shd w:val="clear" w:color="auto" w:fill="FFFFFF"/>
          </w:tcPr>
          <w:p w14:paraId="5E5F6D9B">
            <w:pPr>
              <w:widowControl w:val="0"/>
              <w:rPr>
                <w:rFonts w:cs="Times New Roman"/>
                <w:bCs/>
                <w:szCs w:val="28"/>
                <w:shd w:val="clear" w:color="auto" w:fill="FFFFFF"/>
                <w:lang w:eastAsia="vi-VN"/>
              </w:rPr>
            </w:pPr>
          </w:p>
        </w:tc>
        <w:tc>
          <w:tcPr>
            <w:tcW w:w="365" w:type="pct"/>
            <w:shd w:val="clear" w:color="auto" w:fill="FFFFFF"/>
          </w:tcPr>
          <w:p w14:paraId="2C119C0A">
            <w:pPr>
              <w:widowControl w:val="0"/>
              <w:rPr>
                <w:rFonts w:cs="Times New Roman"/>
                <w:bCs/>
                <w:szCs w:val="28"/>
                <w:shd w:val="clear" w:color="auto" w:fill="FFFFFF"/>
                <w:lang w:eastAsia="vi-VN"/>
              </w:rPr>
            </w:pPr>
          </w:p>
        </w:tc>
        <w:tc>
          <w:tcPr>
            <w:tcW w:w="395" w:type="pct"/>
            <w:shd w:val="clear" w:color="auto" w:fill="FFFFFF"/>
          </w:tcPr>
          <w:p w14:paraId="73832A51">
            <w:pPr>
              <w:widowControl w:val="0"/>
              <w:rPr>
                <w:rFonts w:cs="Times New Roman"/>
                <w:bCs/>
                <w:szCs w:val="28"/>
                <w:shd w:val="clear" w:color="auto" w:fill="FFFFFF"/>
                <w:lang w:eastAsia="vi-VN"/>
              </w:rPr>
            </w:pPr>
          </w:p>
        </w:tc>
        <w:tc>
          <w:tcPr>
            <w:tcW w:w="395" w:type="pct"/>
            <w:shd w:val="clear" w:color="auto" w:fill="FFFFFF"/>
          </w:tcPr>
          <w:p w14:paraId="0AE4ECD2">
            <w:pPr>
              <w:widowControl w:val="0"/>
              <w:rPr>
                <w:rFonts w:cs="Times New Roman"/>
                <w:bCs/>
                <w:szCs w:val="28"/>
                <w:shd w:val="clear" w:color="auto" w:fill="FFFFFF"/>
                <w:lang w:eastAsia="vi-VN"/>
              </w:rPr>
            </w:pPr>
          </w:p>
        </w:tc>
        <w:tc>
          <w:tcPr>
            <w:tcW w:w="402" w:type="pct"/>
            <w:shd w:val="clear" w:color="auto" w:fill="FFFFFF"/>
          </w:tcPr>
          <w:p w14:paraId="084D48AB">
            <w:pPr>
              <w:widowControl w:val="0"/>
              <w:rPr>
                <w:rFonts w:cs="Times New Roman"/>
                <w:bCs/>
                <w:szCs w:val="28"/>
                <w:shd w:val="clear" w:color="auto" w:fill="FFFFFF"/>
                <w:lang w:eastAsia="vi-VN"/>
              </w:rPr>
            </w:pPr>
          </w:p>
        </w:tc>
        <w:tc>
          <w:tcPr>
            <w:tcW w:w="364" w:type="pct"/>
            <w:shd w:val="clear" w:color="auto" w:fill="FFFFFF"/>
          </w:tcPr>
          <w:p w14:paraId="694774F0">
            <w:pPr>
              <w:widowControl w:val="0"/>
              <w:rPr>
                <w:rFonts w:cs="Times New Roman"/>
                <w:bCs/>
                <w:szCs w:val="28"/>
                <w:shd w:val="clear" w:color="auto" w:fill="FFFFFF"/>
                <w:lang w:eastAsia="vi-VN"/>
              </w:rPr>
            </w:pPr>
          </w:p>
        </w:tc>
        <w:tc>
          <w:tcPr>
            <w:tcW w:w="317" w:type="pct"/>
            <w:shd w:val="clear" w:color="auto" w:fill="FFFFFF"/>
          </w:tcPr>
          <w:p w14:paraId="6149A1B9">
            <w:pPr>
              <w:widowControl w:val="0"/>
              <w:rPr>
                <w:rFonts w:cs="Times New Roman"/>
                <w:bCs/>
                <w:szCs w:val="28"/>
                <w:shd w:val="clear" w:color="auto" w:fill="FFFFFF"/>
                <w:lang w:eastAsia="vi-VN"/>
              </w:rPr>
            </w:pPr>
          </w:p>
        </w:tc>
        <w:tc>
          <w:tcPr>
            <w:tcW w:w="321" w:type="pct"/>
            <w:shd w:val="clear" w:color="auto" w:fill="FFFFFF"/>
          </w:tcPr>
          <w:p w14:paraId="63204A68">
            <w:pPr>
              <w:widowControl w:val="0"/>
              <w:rPr>
                <w:rFonts w:cs="Times New Roman"/>
                <w:bCs/>
                <w:szCs w:val="28"/>
                <w:shd w:val="clear" w:color="auto" w:fill="FFFFFF"/>
                <w:lang w:eastAsia="vi-VN"/>
              </w:rPr>
            </w:pPr>
          </w:p>
        </w:tc>
        <w:tc>
          <w:tcPr>
            <w:tcW w:w="424" w:type="pct"/>
            <w:shd w:val="clear" w:color="auto" w:fill="FFFFFF"/>
          </w:tcPr>
          <w:p w14:paraId="469CF68C">
            <w:pPr>
              <w:widowControl w:val="0"/>
              <w:rPr>
                <w:rFonts w:cs="Times New Roman"/>
                <w:bCs/>
                <w:szCs w:val="28"/>
                <w:shd w:val="clear" w:color="auto" w:fill="FFFFFF"/>
                <w:lang w:eastAsia="vi-VN"/>
              </w:rPr>
            </w:pPr>
          </w:p>
        </w:tc>
        <w:tc>
          <w:tcPr>
            <w:tcW w:w="339" w:type="pct"/>
            <w:shd w:val="clear" w:color="auto" w:fill="FFFFFF"/>
          </w:tcPr>
          <w:p w14:paraId="7F6A646A">
            <w:pPr>
              <w:widowControl w:val="0"/>
              <w:rPr>
                <w:rFonts w:cs="Times New Roman"/>
                <w:bCs/>
                <w:szCs w:val="28"/>
                <w:shd w:val="clear" w:color="auto" w:fill="FFFFFF"/>
                <w:lang w:eastAsia="vi-VN"/>
              </w:rPr>
            </w:pPr>
          </w:p>
        </w:tc>
        <w:tc>
          <w:tcPr>
            <w:tcW w:w="320" w:type="pct"/>
            <w:shd w:val="clear" w:color="auto" w:fill="FFFFFF"/>
          </w:tcPr>
          <w:p w14:paraId="1E6562E3">
            <w:pPr>
              <w:widowControl w:val="0"/>
              <w:rPr>
                <w:rFonts w:cs="Times New Roman"/>
                <w:bCs/>
                <w:szCs w:val="28"/>
                <w:shd w:val="clear" w:color="auto" w:fill="FFFFFF"/>
                <w:lang w:eastAsia="vi-VN"/>
              </w:rPr>
            </w:pPr>
          </w:p>
        </w:tc>
      </w:tr>
      <w:tr w14:paraId="1F95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 w:type="pct"/>
            <w:shd w:val="clear" w:color="auto" w:fill="FFFFFF"/>
            <w:vAlign w:val="bottom"/>
          </w:tcPr>
          <w:p w14:paraId="25A815E7">
            <w:pPr>
              <w:widowControl w:val="0"/>
              <w:rPr>
                <w:rFonts w:cs="Times New Roman"/>
                <w:bCs/>
                <w:sz w:val="26"/>
                <w:szCs w:val="26"/>
                <w:shd w:val="clear" w:color="auto" w:fill="FFFFFF"/>
                <w:lang w:eastAsia="vi-VN"/>
              </w:rPr>
            </w:pPr>
            <w:r>
              <w:rPr>
                <w:rFonts w:cs="Times New Roman"/>
                <w:bCs/>
                <w:sz w:val="26"/>
                <w:szCs w:val="26"/>
                <w:shd w:val="clear" w:color="auto" w:fill="FFFFFF"/>
                <w:lang w:eastAsia="vi-VN"/>
              </w:rPr>
              <w:t>2</w:t>
            </w:r>
          </w:p>
        </w:tc>
        <w:tc>
          <w:tcPr>
            <w:tcW w:w="339" w:type="pct"/>
            <w:shd w:val="clear" w:color="auto" w:fill="FFFFFF"/>
          </w:tcPr>
          <w:p w14:paraId="20B3C5BF">
            <w:pPr>
              <w:widowControl w:val="0"/>
              <w:rPr>
                <w:rFonts w:cs="Times New Roman"/>
                <w:bCs/>
                <w:sz w:val="26"/>
                <w:szCs w:val="26"/>
                <w:shd w:val="clear" w:color="auto" w:fill="FFFFFF"/>
                <w:lang w:eastAsia="vi-VN"/>
              </w:rPr>
            </w:pPr>
          </w:p>
        </w:tc>
        <w:tc>
          <w:tcPr>
            <w:tcW w:w="542" w:type="pct"/>
            <w:shd w:val="clear" w:color="auto" w:fill="FFFFFF"/>
            <w:vAlign w:val="center"/>
          </w:tcPr>
          <w:p w14:paraId="0510DFC8">
            <w:pPr>
              <w:widowControl w:val="0"/>
              <w:rPr>
                <w:rFonts w:cs="Times New Roman"/>
                <w:bCs/>
                <w:sz w:val="26"/>
                <w:szCs w:val="26"/>
                <w:shd w:val="clear" w:color="auto" w:fill="FFFFFF"/>
                <w:lang w:eastAsia="vi-VN"/>
              </w:rPr>
            </w:pPr>
            <w:r>
              <w:rPr>
                <w:rFonts w:cs="Times New Roman"/>
                <w:bCs/>
                <w:sz w:val="26"/>
                <w:szCs w:val="26"/>
                <w:shd w:val="clear" w:color="auto" w:fill="FFFFFF"/>
                <w:lang w:eastAsia="vi-VN"/>
              </w:rPr>
              <w:t>Hàng hoá B</w:t>
            </w:r>
          </w:p>
        </w:tc>
        <w:tc>
          <w:tcPr>
            <w:tcW w:w="468" w:type="pct"/>
            <w:shd w:val="clear" w:color="auto" w:fill="FFFFFF"/>
          </w:tcPr>
          <w:p w14:paraId="7459FA24">
            <w:pPr>
              <w:widowControl w:val="0"/>
              <w:rPr>
                <w:rFonts w:cs="Times New Roman"/>
                <w:bCs/>
                <w:szCs w:val="28"/>
                <w:shd w:val="clear" w:color="auto" w:fill="FFFFFF"/>
                <w:lang w:eastAsia="vi-VN"/>
              </w:rPr>
            </w:pPr>
          </w:p>
        </w:tc>
        <w:tc>
          <w:tcPr>
            <w:tcW w:w="365" w:type="pct"/>
            <w:shd w:val="clear" w:color="auto" w:fill="FFFFFF"/>
          </w:tcPr>
          <w:p w14:paraId="2683CFF0">
            <w:pPr>
              <w:widowControl w:val="0"/>
              <w:rPr>
                <w:rFonts w:cs="Times New Roman"/>
                <w:bCs/>
                <w:szCs w:val="28"/>
                <w:shd w:val="clear" w:color="auto" w:fill="FFFFFF"/>
                <w:lang w:eastAsia="vi-VN"/>
              </w:rPr>
            </w:pPr>
          </w:p>
        </w:tc>
        <w:tc>
          <w:tcPr>
            <w:tcW w:w="395" w:type="pct"/>
            <w:shd w:val="clear" w:color="auto" w:fill="FFFFFF"/>
          </w:tcPr>
          <w:p w14:paraId="6708942A">
            <w:pPr>
              <w:widowControl w:val="0"/>
              <w:rPr>
                <w:rFonts w:cs="Times New Roman"/>
                <w:bCs/>
                <w:szCs w:val="28"/>
                <w:shd w:val="clear" w:color="auto" w:fill="FFFFFF"/>
                <w:lang w:eastAsia="vi-VN"/>
              </w:rPr>
            </w:pPr>
          </w:p>
        </w:tc>
        <w:tc>
          <w:tcPr>
            <w:tcW w:w="395" w:type="pct"/>
            <w:shd w:val="clear" w:color="auto" w:fill="FFFFFF"/>
          </w:tcPr>
          <w:p w14:paraId="69041394">
            <w:pPr>
              <w:widowControl w:val="0"/>
              <w:rPr>
                <w:rFonts w:cs="Times New Roman"/>
                <w:bCs/>
                <w:szCs w:val="28"/>
                <w:shd w:val="clear" w:color="auto" w:fill="FFFFFF"/>
                <w:lang w:eastAsia="vi-VN"/>
              </w:rPr>
            </w:pPr>
          </w:p>
        </w:tc>
        <w:tc>
          <w:tcPr>
            <w:tcW w:w="402" w:type="pct"/>
            <w:shd w:val="clear" w:color="auto" w:fill="FFFFFF"/>
          </w:tcPr>
          <w:p w14:paraId="6FE02642">
            <w:pPr>
              <w:widowControl w:val="0"/>
              <w:rPr>
                <w:rFonts w:cs="Times New Roman"/>
                <w:bCs/>
                <w:szCs w:val="28"/>
                <w:shd w:val="clear" w:color="auto" w:fill="FFFFFF"/>
                <w:lang w:eastAsia="vi-VN"/>
              </w:rPr>
            </w:pPr>
          </w:p>
        </w:tc>
        <w:tc>
          <w:tcPr>
            <w:tcW w:w="364" w:type="pct"/>
            <w:shd w:val="clear" w:color="auto" w:fill="FFFFFF"/>
          </w:tcPr>
          <w:p w14:paraId="7F8D7DC6">
            <w:pPr>
              <w:widowControl w:val="0"/>
              <w:rPr>
                <w:rFonts w:cs="Times New Roman"/>
                <w:bCs/>
                <w:szCs w:val="28"/>
                <w:shd w:val="clear" w:color="auto" w:fill="FFFFFF"/>
                <w:lang w:eastAsia="vi-VN"/>
              </w:rPr>
            </w:pPr>
          </w:p>
        </w:tc>
        <w:tc>
          <w:tcPr>
            <w:tcW w:w="317" w:type="pct"/>
            <w:shd w:val="clear" w:color="auto" w:fill="FFFFFF"/>
          </w:tcPr>
          <w:p w14:paraId="479C887D">
            <w:pPr>
              <w:widowControl w:val="0"/>
              <w:rPr>
                <w:rFonts w:cs="Times New Roman"/>
                <w:bCs/>
                <w:szCs w:val="28"/>
                <w:shd w:val="clear" w:color="auto" w:fill="FFFFFF"/>
                <w:lang w:eastAsia="vi-VN"/>
              </w:rPr>
            </w:pPr>
          </w:p>
        </w:tc>
        <w:tc>
          <w:tcPr>
            <w:tcW w:w="321" w:type="pct"/>
            <w:shd w:val="clear" w:color="auto" w:fill="FFFFFF"/>
          </w:tcPr>
          <w:p w14:paraId="00DEB4BD">
            <w:pPr>
              <w:widowControl w:val="0"/>
              <w:rPr>
                <w:rFonts w:cs="Times New Roman"/>
                <w:bCs/>
                <w:szCs w:val="28"/>
                <w:shd w:val="clear" w:color="auto" w:fill="FFFFFF"/>
                <w:lang w:eastAsia="vi-VN"/>
              </w:rPr>
            </w:pPr>
          </w:p>
        </w:tc>
        <w:tc>
          <w:tcPr>
            <w:tcW w:w="424" w:type="pct"/>
            <w:shd w:val="clear" w:color="auto" w:fill="FFFFFF"/>
          </w:tcPr>
          <w:p w14:paraId="4DA7CFBC">
            <w:pPr>
              <w:widowControl w:val="0"/>
              <w:rPr>
                <w:rFonts w:cs="Times New Roman"/>
                <w:bCs/>
                <w:szCs w:val="28"/>
                <w:shd w:val="clear" w:color="auto" w:fill="FFFFFF"/>
                <w:lang w:eastAsia="vi-VN"/>
              </w:rPr>
            </w:pPr>
          </w:p>
        </w:tc>
        <w:tc>
          <w:tcPr>
            <w:tcW w:w="339" w:type="pct"/>
            <w:shd w:val="clear" w:color="auto" w:fill="FFFFFF"/>
          </w:tcPr>
          <w:p w14:paraId="09018034">
            <w:pPr>
              <w:widowControl w:val="0"/>
              <w:rPr>
                <w:rFonts w:cs="Times New Roman"/>
                <w:bCs/>
                <w:szCs w:val="28"/>
                <w:shd w:val="clear" w:color="auto" w:fill="FFFFFF"/>
                <w:lang w:eastAsia="vi-VN"/>
              </w:rPr>
            </w:pPr>
          </w:p>
        </w:tc>
        <w:tc>
          <w:tcPr>
            <w:tcW w:w="320" w:type="pct"/>
            <w:shd w:val="clear" w:color="auto" w:fill="FFFFFF"/>
          </w:tcPr>
          <w:p w14:paraId="61D7B059">
            <w:pPr>
              <w:widowControl w:val="0"/>
              <w:rPr>
                <w:rFonts w:cs="Times New Roman"/>
                <w:bCs/>
                <w:szCs w:val="28"/>
                <w:shd w:val="clear" w:color="auto" w:fill="FFFFFF"/>
                <w:lang w:eastAsia="vi-VN"/>
              </w:rPr>
            </w:pPr>
          </w:p>
        </w:tc>
      </w:tr>
      <w:tr w14:paraId="4B3E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7" w:type="pct"/>
            <w:shd w:val="clear" w:color="auto" w:fill="FFFFFF"/>
            <w:vAlign w:val="center"/>
          </w:tcPr>
          <w:p w14:paraId="2B6E49BB">
            <w:pPr>
              <w:widowControl w:val="0"/>
              <w:rPr>
                <w:rFonts w:cs="Times New Roman"/>
                <w:bCs/>
                <w:sz w:val="26"/>
                <w:szCs w:val="26"/>
                <w:shd w:val="clear" w:color="auto" w:fill="FFFFFF"/>
                <w:lang w:eastAsia="vi-VN"/>
              </w:rPr>
            </w:pPr>
            <w:r>
              <w:rPr>
                <w:rFonts w:cs="Times New Roman"/>
                <w:bCs/>
                <w:sz w:val="26"/>
                <w:szCs w:val="26"/>
                <w:shd w:val="clear" w:color="auto" w:fill="FFFFFF"/>
                <w:lang w:eastAsia="vi-VN"/>
              </w:rPr>
              <w:t>n</w:t>
            </w:r>
          </w:p>
        </w:tc>
        <w:tc>
          <w:tcPr>
            <w:tcW w:w="339" w:type="pct"/>
            <w:shd w:val="clear" w:color="auto" w:fill="FFFFFF"/>
          </w:tcPr>
          <w:p w14:paraId="53D81E21">
            <w:pPr>
              <w:widowControl w:val="0"/>
              <w:rPr>
                <w:rFonts w:cs="Times New Roman"/>
                <w:bCs/>
                <w:sz w:val="26"/>
                <w:szCs w:val="26"/>
                <w:shd w:val="clear" w:color="auto" w:fill="FFFFFF"/>
                <w:lang w:eastAsia="vi-VN"/>
              </w:rPr>
            </w:pPr>
          </w:p>
        </w:tc>
        <w:tc>
          <w:tcPr>
            <w:tcW w:w="542" w:type="pct"/>
            <w:shd w:val="clear" w:color="auto" w:fill="FFFFFF"/>
          </w:tcPr>
          <w:p w14:paraId="31FCBDD9">
            <w:pPr>
              <w:widowControl w:val="0"/>
              <w:rPr>
                <w:rFonts w:cs="Times New Roman"/>
                <w:bCs/>
                <w:sz w:val="26"/>
                <w:szCs w:val="26"/>
                <w:shd w:val="clear" w:color="auto" w:fill="FFFFFF"/>
                <w:lang w:eastAsia="vi-VN"/>
              </w:rPr>
            </w:pPr>
            <w:r>
              <w:rPr>
                <w:rFonts w:cs="Times New Roman"/>
                <w:bCs/>
                <w:sz w:val="26"/>
                <w:szCs w:val="26"/>
                <w:shd w:val="clear" w:color="auto" w:fill="FFFFFF"/>
                <w:lang w:eastAsia="vi-VN"/>
              </w:rPr>
              <w:t>…</w:t>
            </w:r>
          </w:p>
        </w:tc>
        <w:tc>
          <w:tcPr>
            <w:tcW w:w="468" w:type="pct"/>
            <w:shd w:val="clear" w:color="auto" w:fill="FFFFFF"/>
          </w:tcPr>
          <w:p w14:paraId="7172A62A">
            <w:pPr>
              <w:widowControl w:val="0"/>
              <w:rPr>
                <w:rFonts w:cs="Times New Roman"/>
                <w:bCs/>
                <w:szCs w:val="28"/>
                <w:shd w:val="clear" w:color="auto" w:fill="FFFFFF"/>
                <w:lang w:eastAsia="vi-VN"/>
              </w:rPr>
            </w:pPr>
          </w:p>
        </w:tc>
        <w:tc>
          <w:tcPr>
            <w:tcW w:w="365" w:type="pct"/>
            <w:shd w:val="clear" w:color="auto" w:fill="FFFFFF"/>
          </w:tcPr>
          <w:p w14:paraId="2EE973E0">
            <w:pPr>
              <w:widowControl w:val="0"/>
              <w:rPr>
                <w:rFonts w:cs="Times New Roman"/>
                <w:bCs/>
                <w:szCs w:val="28"/>
                <w:shd w:val="clear" w:color="auto" w:fill="FFFFFF"/>
                <w:lang w:eastAsia="vi-VN"/>
              </w:rPr>
            </w:pPr>
          </w:p>
        </w:tc>
        <w:tc>
          <w:tcPr>
            <w:tcW w:w="395" w:type="pct"/>
            <w:shd w:val="clear" w:color="auto" w:fill="FFFFFF"/>
          </w:tcPr>
          <w:p w14:paraId="570C4378">
            <w:pPr>
              <w:widowControl w:val="0"/>
              <w:rPr>
                <w:rFonts w:cs="Times New Roman"/>
                <w:bCs/>
                <w:szCs w:val="28"/>
                <w:shd w:val="clear" w:color="auto" w:fill="FFFFFF"/>
                <w:lang w:eastAsia="vi-VN"/>
              </w:rPr>
            </w:pPr>
          </w:p>
        </w:tc>
        <w:tc>
          <w:tcPr>
            <w:tcW w:w="395" w:type="pct"/>
            <w:shd w:val="clear" w:color="auto" w:fill="FFFFFF"/>
          </w:tcPr>
          <w:p w14:paraId="218A4CE2">
            <w:pPr>
              <w:widowControl w:val="0"/>
              <w:rPr>
                <w:rFonts w:cs="Times New Roman"/>
                <w:bCs/>
                <w:szCs w:val="28"/>
                <w:shd w:val="clear" w:color="auto" w:fill="FFFFFF"/>
                <w:lang w:eastAsia="vi-VN"/>
              </w:rPr>
            </w:pPr>
          </w:p>
        </w:tc>
        <w:tc>
          <w:tcPr>
            <w:tcW w:w="402" w:type="pct"/>
            <w:shd w:val="clear" w:color="auto" w:fill="FFFFFF"/>
          </w:tcPr>
          <w:p w14:paraId="508D89E2">
            <w:pPr>
              <w:widowControl w:val="0"/>
              <w:rPr>
                <w:rFonts w:cs="Times New Roman"/>
                <w:bCs/>
                <w:szCs w:val="28"/>
                <w:shd w:val="clear" w:color="auto" w:fill="FFFFFF"/>
                <w:lang w:eastAsia="vi-VN"/>
              </w:rPr>
            </w:pPr>
          </w:p>
        </w:tc>
        <w:tc>
          <w:tcPr>
            <w:tcW w:w="364" w:type="pct"/>
            <w:shd w:val="clear" w:color="auto" w:fill="FFFFFF"/>
          </w:tcPr>
          <w:p w14:paraId="1B7A4A35">
            <w:pPr>
              <w:widowControl w:val="0"/>
              <w:rPr>
                <w:rFonts w:cs="Times New Roman"/>
                <w:bCs/>
                <w:szCs w:val="28"/>
                <w:shd w:val="clear" w:color="auto" w:fill="FFFFFF"/>
                <w:lang w:eastAsia="vi-VN"/>
              </w:rPr>
            </w:pPr>
          </w:p>
        </w:tc>
        <w:tc>
          <w:tcPr>
            <w:tcW w:w="317" w:type="pct"/>
            <w:shd w:val="clear" w:color="auto" w:fill="FFFFFF"/>
          </w:tcPr>
          <w:p w14:paraId="1A57014D">
            <w:pPr>
              <w:widowControl w:val="0"/>
              <w:rPr>
                <w:rFonts w:cs="Times New Roman"/>
                <w:bCs/>
                <w:szCs w:val="28"/>
                <w:shd w:val="clear" w:color="auto" w:fill="FFFFFF"/>
                <w:lang w:eastAsia="vi-VN"/>
              </w:rPr>
            </w:pPr>
          </w:p>
        </w:tc>
        <w:tc>
          <w:tcPr>
            <w:tcW w:w="321" w:type="pct"/>
            <w:shd w:val="clear" w:color="auto" w:fill="FFFFFF"/>
          </w:tcPr>
          <w:p w14:paraId="702328B9">
            <w:pPr>
              <w:widowControl w:val="0"/>
              <w:rPr>
                <w:rFonts w:cs="Times New Roman"/>
                <w:bCs/>
                <w:szCs w:val="28"/>
                <w:shd w:val="clear" w:color="auto" w:fill="FFFFFF"/>
                <w:lang w:eastAsia="vi-VN"/>
              </w:rPr>
            </w:pPr>
          </w:p>
        </w:tc>
        <w:tc>
          <w:tcPr>
            <w:tcW w:w="424" w:type="pct"/>
            <w:shd w:val="clear" w:color="auto" w:fill="FFFFFF"/>
          </w:tcPr>
          <w:p w14:paraId="0AC66076">
            <w:pPr>
              <w:widowControl w:val="0"/>
              <w:rPr>
                <w:rFonts w:cs="Times New Roman"/>
                <w:bCs/>
                <w:szCs w:val="28"/>
                <w:shd w:val="clear" w:color="auto" w:fill="FFFFFF"/>
                <w:lang w:eastAsia="vi-VN"/>
              </w:rPr>
            </w:pPr>
          </w:p>
        </w:tc>
        <w:tc>
          <w:tcPr>
            <w:tcW w:w="339" w:type="pct"/>
            <w:shd w:val="clear" w:color="auto" w:fill="FFFFFF"/>
          </w:tcPr>
          <w:p w14:paraId="3242C0AA">
            <w:pPr>
              <w:widowControl w:val="0"/>
              <w:rPr>
                <w:rFonts w:cs="Times New Roman"/>
                <w:bCs/>
                <w:szCs w:val="28"/>
                <w:shd w:val="clear" w:color="auto" w:fill="FFFFFF"/>
                <w:lang w:eastAsia="vi-VN"/>
              </w:rPr>
            </w:pPr>
          </w:p>
        </w:tc>
        <w:tc>
          <w:tcPr>
            <w:tcW w:w="320" w:type="pct"/>
            <w:shd w:val="clear" w:color="auto" w:fill="FFFFFF"/>
          </w:tcPr>
          <w:p w14:paraId="364E8969">
            <w:pPr>
              <w:widowControl w:val="0"/>
              <w:rPr>
                <w:rFonts w:cs="Times New Roman"/>
                <w:bCs/>
                <w:szCs w:val="28"/>
                <w:shd w:val="clear" w:color="auto" w:fill="FFFFFF"/>
                <w:lang w:eastAsia="vi-VN"/>
              </w:rPr>
            </w:pPr>
          </w:p>
        </w:tc>
      </w:tr>
    </w:tbl>
    <w:p w14:paraId="273840B7">
      <w:pPr>
        <w:widowControl w:val="0"/>
        <w:spacing w:after="120" w:line="320" w:lineRule="exact"/>
        <w:jc w:val="both"/>
        <w:rPr>
          <w:rFonts w:cs="Times New Roman"/>
          <w:bCs/>
          <w:i/>
          <w:iCs/>
          <w:szCs w:val="28"/>
          <w:shd w:val="clear" w:color="auto" w:fill="FFFFFF"/>
          <w:lang w:eastAsia="vi-VN"/>
        </w:rPr>
      </w:pPr>
      <w:r>
        <w:rPr>
          <w:rFonts w:cs="Times New Roman"/>
          <w:bCs/>
          <w:i/>
          <w:iCs/>
          <w:szCs w:val="28"/>
          <w:shd w:val="clear" w:color="auto" w:fill="FFFFFF"/>
          <w:lang w:eastAsia="vi-VN"/>
        </w:rPr>
        <w:t xml:space="preserve">       </w:t>
      </w:r>
      <w:r>
        <w:rPr>
          <w:rFonts w:cs="Times New Roman"/>
          <w:bCs/>
          <w:i/>
          <w:iCs/>
          <w:szCs w:val="28"/>
          <w:shd w:val="clear" w:color="auto" w:fill="FFFFFF"/>
          <w:lang w:eastAsia="vi-VN"/>
        </w:rPr>
        <w:tab/>
      </w:r>
      <w:r>
        <w:rPr>
          <w:rFonts w:cs="Times New Roman"/>
          <w:bCs/>
          <w:i/>
          <w:iCs/>
          <w:szCs w:val="28"/>
          <w:shd w:val="clear" w:color="auto" w:fill="FFFFFF"/>
          <w:lang w:val="en-US" w:eastAsia="vi-VN"/>
        </w:rPr>
        <w:t>(</w:t>
      </w:r>
      <w:r>
        <w:rPr>
          <w:rFonts w:cs="Times New Roman"/>
          <w:i/>
        </w:rPr>
        <w:t>Hồ sơ báo giá gửi kèm catalogue hoặc tài liệu kỹ thuật hoặc hình ảnh minh họa</w:t>
      </w:r>
      <w:r>
        <w:rPr>
          <w:rFonts w:cs="Times New Roman"/>
          <w:i/>
          <w:lang w:val="en-US"/>
        </w:rPr>
        <w:t>)</w:t>
      </w:r>
      <w:r>
        <w:rPr>
          <w:rFonts w:cs="Times New Roman"/>
          <w:i/>
        </w:rPr>
        <w:t xml:space="preserve"> (nếu có).</w:t>
      </w:r>
    </w:p>
    <w:p w14:paraId="591D2A75">
      <w:pPr>
        <w:widowControl w:val="0"/>
        <w:spacing w:after="120" w:line="320" w:lineRule="exact"/>
        <w:ind w:firstLine="720"/>
        <w:jc w:val="both"/>
        <w:rPr>
          <w:rFonts w:cs="Times New Roman"/>
          <w:szCs w:val="28"/>
          <w:lang w:val="en-US"/>
        </w:rPr>
      </w:pPr>
      <w:r>
        <w:rPr>
          <w:rFonts w:cs="Times New Roman"/>
          <w:bCs/>
          <w:iCs/>
          <w:szCs w:val="28"/>
          <w:shd w:val="clear" w:color="auto" w:fill="FFFFFF"/>
          <w:lang w:eastAsia="vi-VN"/>
        </w:rPr>
        <w:t>2.</w:t>
      </w:r>
      <w:r>
        <w:rPr>
          <w:rFonts w:cs="Times New Roman"/>
          <w:szCs w:val="28"/>
        </w:rPr>
        <w:t xml:space="preserve"> Báo giá đã bao gồm các loại thuế, phí, lệ phí (nếu có)…. Và các khoản chi phí khác có liên quan, bên mua không phải trả thêm bất kỳ khoản chi phí nào khác</w:t>
      </w:r>
      <w:r>
        <w:rPr>
          <w:rFonts w:cs="Times New Roman"/>
          <w:szCs w:val="28"/>
          <w:lang w:val="en-US"/>
        </w:rPr>
        <w:t>.</w:t>
      </w:r>
    </w:p>
    <w:p w14:paraId="33F44E75">
      <w:pPr>
        <w:widowControl w:val="0"/>
        <w:spacing w:after="0" w:line="288" w:lineRule="auto"/>
        <w:ind w:firstLine="720"/>
        <w:jc w:val="both"/>
        <w:rPr>
          <w:rFonts w:cs="Times New Roman"/>
        </w:rPr>
      </w:pPr>
      <w:r>
        <w:rPr>
          <w:rFonts w:cs="Times New Roman"/>
          <w:spacing w:val="-8"/>
        </w:rPr>
        <w:t>3. Hàng hóa mới 100%</w:t>
      </w:r>
      <w:r>
        <w:rPr>
          <w:rFonts w:cs="Times New Roman"/>
          <w:spacing w:val="-8"/>
          <w:lang w:val="en-US"/>
        </w:rPr>
        <w:t>.</w:t>
      </w:r>
      <w:r>
        <w:rPr>
          <w:rFonts w:cs="Times New Roman"/>
          <w:spacing w:val="-8"/>
        </w:rPr>
        <w:t xml:space="preserve"> </w:t>
      </w:r>
    </w:p>
    <w:p w14:paraId="361670CB">
      <w:pPr>
        <w:widowControl w:val="0"/>
        <w:spacing w:after="0" w:line="288" w:lineRule="auto"/>
        <w:ind w:firstLine="720"/>
        <w:jc w:val="both"/>
        <w:rPr>
          <w:rFonts w:cs="Times New Roman"/>
          <w:bCs/>
          <w:szCs w:val="28"/>
          <w:shd w:val="clear" w:color="auto" w:fill="FFFFFF"/>
          <w:lang w:eastAsia="vi-VN"/>
        </w:rPr>
      </w:pPr>
      <w:r>
        <w:rPr>
          <w:rFonts w:cs="Times New Roman"/>
          <w:bCs/>
          <w:szCs w:val="28"/>
          <w:shd w:val="clear" w:color="auto" w:fill="FFFFFF"/>
          <w:lang w:eastAsia="vi-VN"/>
        </w:rPr>
        <w:t xml:space="preserve">4. Báo giá này có hiệu lực trong vòng: 90 ngày, kể từ ngày </w:t>
      </w:r>
      <w:r>
        <w:rPr>
          <w:rFonts w:cs="Times New Roman"/>
          <w:bCs/>
          <w:szCs w:val="28"/>
          <w:shd w:val="clear" w:color="auto" w:fill="FFFFFF"/>
          <w:lang w:val="en-US" w:eastAsia="vi-VN"/>
        </w:rPr>
        <w:t>28/9/2026</w:t>
      </w:r>
      <w:r>
        <w:rPr>
          <w:rFonts w:cs="Times New Roman"/>
          <w:bCs/>
          <w:szCs w:val="28"/>
          <w:shd w:val="clear" w:color="auto" w:fill="FFFFFF"/>
          <w:lang w:eastAsia="vi-VN"/>
        </w:rPr>
        <w:t>.</w:t>
      </w:r>
    </w:p>
    <w:p w14:paraId="2FFA9876">
      <w:pPr>
        <w:widowControl w:val="0"/>
        <w:spacing w:after="120" w:line="320" w:lineRule="exact"/>
        <w:ind w:firstLine="720"/>
        <w:jc w:val="both"/>
        <w:rPr>
          <w:rFonts w:cs="Times New Roman"/>
          <w:bCs/>
          <w:i/>
          <w:iCs/>
          <w:szCs w:val="28"/>
          <w:shd w:val="clear" w:color="auto" w:fill="FFFFFF"/>
          <w:lang w:eastAsia="vi-VN"/>
        </w:rPr>
      </w:pPr>
      <w:r>
        <w:rPr>
          <w:rFonts w:cs="Times New Roman"/>
          <w:bCs/>
          <w:szCs w:val="28"/>
          <w:shd w:val="clear" w:color="auto" w:fill="FFFFFF"/>
          <w:lang w:eastAsia="vi-VN"/>
        </w:rPr>
        <w:t>5. Chúng tôi cam kết:</w:t>
      </w:r>
    </w:p>
    <w:p w14:paraId="19F0C1CD">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4DC1B3A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5BAFE07">
      <w:pPr>
        <w:widowControl w:val="0"/>
        <w:spacing w:after="0" w:line="240" w:lineRule="auto"/>
        <w:jc w:val="center"/>
        <w:rPr>
          <w:bCs/>
          <w:szCs w:val="28"/>
          <w:shd w:val="clear" w:color="auto" w:fill="FFFFFF"/>
          <w:lang w:eastAsia="vi-VN"/>
        </w:rPr>
      </w:pPr>
      <w:r>
        <w:rPr>
          <w:bCs/>
          <w:i/>
          <w:iCs/>
          <w:szCs w:val="28"/>
          <w:shd w:val="clear" w:color="auto" w:fill="FFFFFF"/>
          <w:lang w:val="en-US" w:eastAsia="vi-VN"/>
        </w:rPr>
        <w:t xml:space="preserve">                                                                                                                 </w:t>
      </w:r>
      <w:r>
        <w:rPr>
          <w:bCs/>
          <w:i/>
          <w:iCs/>
          <w:szCs w:val="28"/>
          <w:shd w:val="clear" w:color="auto" w:fill="FFFFFF"/>
          <w:lang w:eastAsia="vi-VN"/>
        </w:rPr>
        <w:t>…., ngày.... tháng....năm....</w:t>
      </w:r>
    </w:p>
    <w:p w14:paraId="3B74572D">
      <w:pPr>
        <w:widowControl w:val="0"/>
        <w:spacing w:after="0" w:line="240" w:lineRule="auto"/>
        <w:jc w:val="right"/>
        <w:rPr>
          <w:b/>
          <w:bCs/>
          <w:i/>
          <w:iCs/>
          <w:szCs w:val="28"/>
          <w:shd w:val="clear" w:color="auto" w:fill="FFFFFF"/>
          <w:lang w:eastAsia="vi-VN"/>
        </w:rPr>
      </w:pPr>
      <w:r>
        <w:rPr>
          <w:b/>
          <w:bCs/>
          <w:szCs w:val="28"/>
          <w:shd w:val="clear" w:color="auto" w:fill="FFFFFF"/>
          <w:lang w:eastAsia="vi-VN"/>
        </w:rPr>
        <w:t>Đại diện hợp pháp của hãng sản xuất, nhà cung cấp</w:t>
      </w:r>
    </w:p>
    <w:p w14:paraId="51E662BD">
      <w:pPr>
        <w:widowControl w:val="0"/>
        <w:spacing w:after="0" w:line="240" w:lineRule="auto"/>
        <w:jc w:val="center"/>
        <w:rPr>
          <w:szCs w:val="28"/>
        </w:rPr>
      </w:pPr>
      <w:r>
        <w:rPr>
          <w:bCs/>
          <w:szCs w:val="28"/>
          <w:shd w:val="clear" w:color="auto" w:fill="FFFFFF"/>
          <w:lang w:val="en-US" w:eastAsia="vi-VN"/>
        </w:rPr>
        <w:t xml:space="preserve">                                                                                                                  </w:t>
      </w:r>
      <w:r>
        <w:rPr>
          <w:bCs/>
          <w:szCs w:val="28"/>
          <w:shd w:val="clear" w:color="auto" w:fill="FFFFFF"/>
          <w:lang w:eastAsia="vi-VN"/>
        </w:rPr>
        <w:t>(Ký tên, đóng dấu (nếu có))</w:t>
      </w:r>
      <w:bookmarkEnd w:id="1"/>
      <w:bookmarkEnd w:id="2"/>
    </w:p>
    <w:p w14:paraId="28787705">
      <w:pPr>
        <w:widowControl w:val="0"/>
        <w:spacing w:after="0" w:line="240" w:lineRule="auto"/>
        <w:jc w:val="center"/>
        <w:rPr>
          <w:szCs w:val="28"/>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2020803070505020304"/>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5F68B">
    <w:pPr>
      <w:pStyle w:val="7"/>
    </w:pPr>
  </w:p>
  <w:p w14:paraId="31D9D13A">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9D1697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1"/>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4"/>
    <w:unhideWhenUsed/>
    <w:qFormat/>
    <w:uiPriority w:val="99"/>
    <w:pPr>
      <w:tabs>
        <w:tab w:val="center" w:pos="4513"/>
        <w:tab w:val="right" w:pos="9026"/>
      </w:tabs>
      <w:spacing w:after="0" w:line="240" w:lineRule="auto"/>
    </w:pPr>
  </w:style>
  <w:style w:type="paragraph" w:styleId="8">
    <w:name w:val="header"/>
    <w:basedOn w:val="1"/>
    <w:link w:val="22"/>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character" w:styleId="11">
    <w:name w:val="Strong"/>
    <w:basedOn w:val="3"/>
    <w:qFormat/>
    <w:uiPriority w:val="22"/>
    <w:rPr>
      <w:b/>
      <w:bCs/>
    </w:rPr>
  </w:style>
  <w:style w:type="table" w:styleId="12">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link w:val="19"/>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4">
    <w:name w:val="Footer Char"/>
    <w:basedOn w:val="3"/>
    <w:link w:val="7"/>
    <w:qFormat/>
    <w:uiPriority w:val="99"/>
    <w:rPr>
      <w:rFonts w:ascii="Times New Roman" w:hAnsi="Times New Roman"/>
      <w:sz w:val="28"/>
      <w:lang w:val="vi-VN"/>
    </w:rPr>
  </w:style>
  <w:style w:type="character" w:customStyle="1" w:styleId="15">
    <w:name w:val="Balloon Text Char"/>
    <w:basedOn w:val="3"/>
    <w:link w:val="5"/>
    <w:semiHidden/>
    <w:qFormat/>
    <w:uiPriority w:val="99"/>
    <w:rPr>
      <w:rFonts w:ascii="Segoe UI" w:hAnsi="Segoe UI" w:cs="Segoe UI"/>
      <w:sz w:val="18"/>
      <w:szCs w:val="18"/>
      <w:lang w:val="vi-VN"/>
    </w:rPr>
  </w:style>
  <w:style w:type="character" w:customStyle="1" w:styleId="16">
    <w:name w:val="font81"/>
    <w:qFormat/>
    <w:uiPriority w:val="0"/>
    <w:rPr>
      <w:rFonts w:hint="default" w:ascii="Times New Roman" w:hAnsi="Times New Roman" w:cs="Times New Roman"/>
      <w:b/>
      <w:bCs/>
      <w:color w:val="000000"/>
      <w:sz w:val="18"/>
      <w:szCs w:val="18"/>
      <w:u w:val="none"/>
    </w:rPr>
  </w:style>
  <w:style w:type="character" w:customStyle="1" w:styleId="17">
    <w:name w:val="font91"/>
    <w:qFormat/>
    <w:uiPriority w:val="0"/>
    <w:rPr>
      <w:rFonts w:hint="default" w:ascii="Times New Roman" w:hAnsi="Times New Roman" w:cs="Times New Roman"/>
      <w:b/>
      <w:bCs/>
      <w:color w:val="000000"/>
      <w:sz w:val="18"/>
      <w:szCs w:val="18"/>
      <w:u w:val="none"/>
    </w:rPr>
  </w:style>
  <w:style w:type="character" w:customStyle="1" w:styleId="18">
    <w:name w:val="fontarticledesc"/>
    <w:basedOn w:val="3"/>
    <w:qFormat/>
    <w:uiPriority w:val="0"/>
  </w:style>
  <w:style w:type="character" w:customStyle="1" w:styleId="19">
    <w:name w:val="List Paragraph Char"/>
    <w:link w:val="13"/>
    <w:qFormat/>
    <w:locked/>
    <w:uiPriority w:val="34"/>
    <w:rPr>
      <w:rFonts w:ascii=".VnTime" w:hAnsi=".VnTime" w:eastAsia="Times New Roman" w:cs="Times New Roman"/>
      <w:sz w:val="24"/>
      <w:szCs w:val="24"/>
    </w:rPr>
  </w:style>
  <w:style w:type="paragraph" w:customStyle="1" w:styleId="20">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1">
    <w:name w:val="Heading 1 Char"/>
    <w:basedOn w:val="3"/>
    <w:link w:val="2"/>
    <w:qFormat/>
    <w:uiPriority w:val="0"/>
    <w:rPr>
      <w:rFonts w:ascii="Calibri Light" w:hAnsi="Calibri Light" w:eastAsia="Times New Roman" w:cs="Times New Roman"/>
      <w:b/>
      <w:bCs/>
      <w:kern w:val="32"/>
      <w:sz w:val="32"/>
      <w:szCs w:val="32"/>
    </w:rPr>
  </w:style>
  <w:style w:type="character" w:customStyle="1" w:styleId="22">
    <w:name w:val="Header Char"/>
    <w:basedOn w:val="3"/>
    <w:link w:val="8"/>
    <w:qFormat/>
    <w:uiPriority w:val="99"/>
    <w:rPr>
      <w:rFonts w:ascii="Times New Roman" w:hAnsi="Times New Roman"/>
      <w:sz w:val="28"/>
      <w:szCs w:val="22"/>
      <w:lang w:val="vi-VN"/>
    </w:rPr>
  </w:style>
  <w:style w:type="character" w:customStyle="1" w:styleId="23">
    <w:name w:val="fontstyle01"/>
    <w:qFormat/>
    <w:uiPriority w:val="0"/>
    <w:rPr>
      <w:rFonts w:hint="default" w:ascii="Times New Roman" w:hAnsi="Times New Roman" w:cs="Times New Roman"/>
      <w:color w:val="000000"/>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C5E3E-E82A-4F89-9E5B-E4C44B3AA3D7}">
  <ds:schemaRefs/>
</ds:datastoreItem>
</file>

<file path=docProps/app.xml><?xml version="1.0" encoding="utf-8"?>
<Properties xmlns="http://schemas.openxmlformats.org/officeDocument/2006/extended-properties" xmlns:vt="http://schemas.openxmlformats.org/officeDocument/2006/docPropsVTypes">
  <Template>Normal</Template>
  <Pages>3</Pages>
  <Words>1357</Words>
  <Characters>4799</Characters>
  <Lines>46</Lines>
  <Paragraphs>12</Paragraphs>
  <TotalTime>148</TotalTime>
  <ScaleCrop>false</ScaleCrop>
  <LinksUpToDate>false</LinksUpToDate>
  <CharactersWithSpaces>6272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2026-09-11T03:56:00Z</dcterms:created>
  <dc:creator>NOI 3</dc:creator>
  <cp:lastModifiedBy>Truong Hoang Hiep</cp:lastModifiedBy>
  <cp:lastPrinted>2023-09-25T07:44:00Z</cp:lastPrinted>
  <dcterms:modified xsi:type="dcterms:W3CDTF">2026-09-17T09:23:25Z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