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2C550">
      <w:pPr>
        <w:spacing w:line="276" w:lineRule="auto"/>
        <w:jc w:val="center"/>
        <w:rPr>
          <w:b/>
          <w:bCs/>
          <w:sz w:val="26"/>
          <w:szCs w:val="26"/>
        </w:rPr>
      </w:pPr>
      <w:bookmarkStart w:id="3" w:name="_GoBack"/>
      <w:bookmarkEnd w:id="3"/>
      <w:r>
        <w:rPr>
          <w:b/>
          <w:bCs/>
          <w:sz w:val="26"/>
          <w:szCs w:val="26"/>
        </w:rPr>
        <w:t xml:space="preserve">Phụ lục: Danh mục, số lượng, </w:t>
      </w:r>
      <w:r>
        <w:rPr>
          <w:b/>
          <w:sz w:val="26"/>
          <w:szCs w:val="26"/>
        </w:rPr>
        <w:t>yêu cầu về tính năng, yêu cầu kỹ thuật</w:t>
      </w:r>
    </w:p>
    <w:p w14:paraId="121F77E2">
      <w:pPr>
        <w:spacing w:line="276" w:lineRule="auto"/>
        <w:jc w:val="center"/>
        <w:rPr>
          <w:sz w:val="26"/>
          <w:szCs w:val="26"/>
        </w:rPr>
      </w:pPr>
      <w:r>
        <w:rPr>
          <w:bCs/>
          <w:sz w:val="26"/>
          <w:szCs w:val="26"/>
        </w:rPr>
        <w:t xml:space="preserve"> Gói thầu: </w:t>
      </w:r>
      <w:r>
        <w:rPr>
          <w:sz w:val="26"/>
          <w:szCs w:val="26"/>
        </w:rPr>
        <w:t>Mua sắm hoá chất năm 2026</w:t>
      </w:r>
    </w:p>
    <w:p w14:paraId="0E85140A">
      <w:pPr>
        <w:spacing w:line="276" w:lineRule="auto"/>
        <w:jc w:val="center"/>
        <w:rPr>
          <w:i/>
          <w:iCs/>
          <w:sz w:val="26"/>
          <w:szCs w:val="26"/>
          <w:lang w:val="fr-FR"/>
        </w:rPr>
      </w:pPr>
      <w:r>
        <w:rPr>
          <w:i/>
          <w:iCs/>
          <w:sz w:val="26"/>
          <w:szCs w:val="26"/>
          <w:lang w:val="fr-FR"/>
        </w:rPr>
        <w:t xml:space="preserve"> (Kèm theo Yêu</w:t>
      </w:r>
      <w:r>
        <w:rPr>
          <w:i/>
          <w:iCs/>
          <w:sz w:val="26"/>
          <w:szCs w:val="26"/>
          <w:lang w:val="vi-VN"/>
        </w:rPr>
        <w:t xml:space="preserve"> cầu báo giá</w:t>
      </w:r>
      <w:r>
        <w:rPr>
          <w:i/>
          <w:iCs/>
          <w:sz w:val="26"/>
          <w:szCs w:val="26"/>
          <w:lang w:val="fr-FR"/>
        </w:rPr>
        <w:t xml:space="preserve"> số:9298/</w:t>
      </w:r>
      <w:r>
        <w:t xml:space="preserve"> </w:t>
      </w:r>
      <w:r>
        <w:rPr>
          <w:i/>
          <w:iCs/>
          <w:sz w:val="26"/>
          <w:szCs w:val="26"/>
          <w:lang w:val="fr-FR"/>
        </w:rPr>
        <w:t>YCBG-BVĐKBN2 ngày 29/09/2026 của Giám đốc Bệnh viện đa khoa Bắc Ninh số 2)</w:t>
      </w:r>
    </w:p>
    <w:tbl>
      <w:tblPr>
        <w:tblStyle w:val="3"/>
        <w:tblW w:w="5318" w:type="pct"/>
        <w:tblInd w:w="-431" w:type="dxa"/>
        <w:tblLayout w:type="fixed"/>
        <w:tblCellMar>
          <w:top w:w="0" w:type="dxa"/>
          <w:left w:w="108" w:type="dxa"/>
          <w:bottom w:w="0" w:type="dxa"/>
          <w:right w:w="108" w:type="dxa"/>
        </w:tblCellMar>
      </w:tblPr>
      <w:tblGrid>
        <w:gridCol w:w="843"/>
        <w:gridCol w:w="2100"/>
        <w:gridCol w:w="4715"/>
        <w:gridCol w:w="1010"/>
        <w:gridCol w:w="1155"/>
      </w:tblGrid>
      <w:tr w14:paraId="23F23718">
        <w:tblPrEx>
          <w:tblCellMar>
            <w:top w:w="0" w:type="dxa"/>
            <w:left w:w="108" w:type="dxa"/>
            <w:bottom w:w="0" w:type="dxa"/>
            <w:right w:w="108" w:type="dxa"/>
          </w:tblCellMar>
        </w:tblPrEx>
        <w:trPr>
          <w:trHeight w:val="1048" w:hRule="atLeast"/>
          <w:tblHeader/>
        </w:trPr>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14:paraId="6B48CFC2">
            <w:pPr>
              <w:jc w:val="center"/>
              <w:rPr>
                <w:b/>
                <w:bCs/>
                <w:color w:val="0D0D0D" w:themeColor="text1" w:themeTint="F2"/>
                <w:sz w:val="28"/>
                <w:szCs w:val="28"/>
                <w14:textFill>
                  <w14:solidFill>
                    <w14:schemeClr w14:val="tx1">
                      <w14:lumMod w14:val="95000"/>
                      <w14:lumOff w14:val="5000"/>
                    </w14:schemeClr>
                  </w14:solidFill>
                </w14:textFill>
              </w:rPr>
            </w:pPr>
            <w:bookmarkStart w:id="0" w:name="_Hlk180181485"/>
            <w:r>
              <w:rPr>
                <w:b/>
                <w:bCs/>
                <w:color w:val="0D0D0D" w:themeColor="text1" w:themeTint="F2"/>
                <w:sz w:val="28"/>
                <w:szCs w:val="28"/>
                <w14:textFill>
                  <w14:solidFill>
                    <w14:schemeClr w14:val="tx1">
                      <w14:lumMod w14:val="95000"/>
                      <w14:lumOff w14:val="5000"/>
                    </w14:schemeClr>
                  </w14:solidFill>
                </w14:textFill>
              </w:rPr>
              <w:t>STT</w:t>
            </w:r>
          </w:p>
        </w:tc>
        <w:tc>
          <w:tcPr>
            <w:tcW w:w="1069" w:type="pct"/>
            <w:tcBorders>
              <w:top w:val="single" w:color="auto" w:sz="4" w:space="0"/>
              <w:left w:val="nil"/>
              <w:bottom w:val="single" w:color="auto" w:sz="4" w:space="0"/>
              <w:right w:val="single" w:color="auto" w:sz="4" w:space="0"/>
            </w:tcBorders>
            <w:shd w:val="clear" w:color="auto" w:fill="auto"/>
            <w:vAlign w:val="center"/>
          </w:tcPr>
          <w:p w14:paraId="2699942D">
            <w:pPr>
              <w:jc w:val="center"/>
              <w:rPr>
                <w:b/>
                <w:bCs/>
                <w:color w:val="0D0D0D" w:themeColor="text1" w:themeTint="F2"/>
                <w:sz w:val="28"/>
                <w:szCs w:val="28"/>
                <w14:textFill>
                  <w14:solidFill>
                    <w14:schemeClr w14:val="tx1">
                      <w14:lumMod w14:val="95000"/>
                      <w14:lumOff w14:val="5000"/>
                    </w14:schemeClr>
                  </w14:solidFill>
                </w14:textFill>
              </w:rPr>
            </w:pPr>
            <w:r>
              <w:rPr>
                <w:b/>
                <w:bCs/>
                <w:color w:val="0D0D0D" w:themeColor="text1" w:themeTint="F2"/>
                <w:sz w:val="28"/>
                <w:szCs w:val="28"/>
                <w14:textFill>
                  <w14:solidFill>
                    <w14:schemeClr w14:val="tx1">
                      <w14:lumMod w14:val="95000"/>
                      <w14:lumOff w14:val="5000"/>
                    </w14:schemeClr>
                  </w14:solidFill>
                </w14:textFill>
              </w:rPr>
              <w:t>Danh mục hàng hoá</w:t>
            </w:r>
          </w:p>
        </w:tc>
        <w:tc>
          <w:tcPr>
            <w:tcW w:w="2400" w:type="pct"/>
            <w:tcBorders>
              <w:top w:val="single" w:color="auto" w:sz="4" w:space="0"/>
              <w:left w:val="nil"/>
              <w:bottom w:val="single" w:color="auto" w:sz="4" w:space="0"/>
              <w:right w:val="single" w:color="auto" w:sz="4" w:space="0"/>
            </w:tcBorders>
            <w:vAlign w:val="center"/>
          </w:tcPr>
          <w:p w14:paraId="7E08A72A">
            <w:pPr>
              <w:jc w:val="center"/>
              <w:rPr>
                <w:b/>
                <w:bCs/>
                <w:color w:val="0D0D0D" w:themeColor="text1" w:themeTint="F2"/>
                <w:sz w:val="28"/>
                <w:szCs w:val="28"/>
                <w14:textFill>
                  <w14:solidFill>
                    <w14:schemeClr w14:val="tx1">
                      <w14:lumMod w14:val="95000"/>
                      <w14:lumOff w14:val="5000"/>
                    </w14:schemeClr>
                  </w14:solidFill>
                </w14:textFill>
              </w:rPr>
            </w:pPr>
            <w:r>
              <w:rPr>
                <w:b/>
                <w:bCs/>
                <w:color w:val="0D0D0D" w:themeColor="text1" w:themeTint="F2"/>
                <w:sz w:val="28"/>
                <w:szCs w:val="28"/>
                <w14:textFill>
                  <w14:solidFill>
                    <w14:schemeClr w14:val="tx1">
                      <w14:lumMod w14:val="95000"/>
                      <w14:lumOff w14:val="5000"/>
                    </w14:schemeClr>
                  </w14:solidFill>
                </w14:textFill>
              </w:rPr>
              <w:t>Yêu cầu về tính năng và yêu cầu kỹ thuật</w:t>
            </w:r>
          </w:p>
        </w:tc>
        <w:tc>
          <w:tcPr>
            <w:tcW w:w="514" w:type="pct"/>
            <w:tcBorders>
              <w:top w:val="single" w:color="auto" w:sz="4" w:space="0"/>
              <w:left w:val="single" w:color="auto" w:sz="4" w:space="0"/>
              <w:bottom w:val="single" w:color="auto" w:sz="4" w:space="0"/>
              <w:right w:val="single" w:color="auto" w:sz="4" w:space="0"/>
            </w:tcBorders>
            <w:shd w:val="clear" w:color="auto" w:fill="auto"/>
            <w:vAlign w:val="center"/>
          </w:tcPr>
          <w:p w14:paraId="00878F4B">
            <w:pPr>
              <w:jc w:val="center"/>
              <w:rPr>
                <w:b/>
                <w:bCs/>
                <w:color w:val="0D0D0D" w:themeColor="text1" w:themeTint="F2"/>
                <w:sz w:val="28"/>
                <w:szCs w:val="28"/>
                <w14:textFill>
                  <w14:solidFill>
                    <w14:schemeClr w14:val="tx1">
                      <w14:lumMod w14:val="95000"/>
                      <w14:lumOff w14:val="5000"/>
                    </w14:schemeClr>
                  </w14:solidFill>
                </w14:textFill>
              </w:rPr>
            </w:pPr>
            <w:r>
              <w:rPr>
                <w:b/>
                <w:bCs/>
                <w:color w:val="0D0D0D" w:themeColor="text1" w:themeTint="F2"/>
                <w:sz w:val="28"/>
                <w:szCs w:val="28"/>
                <w14:textFill>
                  <w14:solidFill>
                    <w14:schemeClr w14:val="tx1">
                      <w14:lumMod w14:val="95000"/>
                      <w14:lumOff w14:val="5000"/>
                    </w14:schemeClr>
                  </w14:solidFill>
                </w14:textFill>
              </w:rPr>
              <w:t>Đơn vị tính</w:t>
            </w:r>
          </w:p>
        </w:tc>
        <w:tc>
          <w:tcPr>
            <w:tcW w:w="588" w:type="pct"/>
            <w:tcBorders>
              <w:top w:val="single" w:color="auto" w:sz="4" w:space="0"/>
              <w:left w:val="nil"/>
              <w:bottom w:val="single" w:color="auto" w:sz="4" w:space="0"/>
              <w:right w:val="single" w:color="auto" w:sz="4" w:space="0"/>
            </w:tcBorders>
            <w:shd w:val="clear" w:color="auto" w:fill="auto"/>
            <w:vAlign w:val="center"/>
          </w:tcPr>
          <w:p w14:paraId="2ED4A416">
            <w:pPr>
              <w:jc w:val="center"/>
              <w:rPr>
                <w:b/>
                <w:bCs/>
                <w:color w:val="0D0D0D" w:themeColor="text1" w:themeTint="F2"/>
                <w:sz w:val="28"/>
                <w:szCs w:val="28"/>
                <w14:textFill>
                  <w14:solidFill>
                    <w14:schemeClr w14:val="tx1">
                      <w14:lumMod w14:val="95000"/>
                      <w14:lumOff w14:val="5000"/>
                    </w14:schemeClr>
                  </w14:solidFill>
                </w14:textFill>
              </w:rPr>
            </w:pPr>
            <w:r>
              <w:rPr>
                <w:b/>
                <w:bCs/>
                <w:color w:val="0D0D0D" w:themeColor="text1" w:themeTint="F2"/>
                <w:sz w:val="28"/>
                <w:szCs w:val="28"/>
                <w14:textFill>
                  <w14:solidFill>
                    <w14:schemeClr w14:val="tx1">
                      <w14:lumMod w14:val="95000"/>
                      <w14:lumOff w14:val="5000"/>
                    </w14:schemeClr>
                  </w14:solidFill>
                </w14:textFill>
              </w:rPr>
              <w:t>Số lượng</w:t>
            </w:r>
          </w:p>
        </w:tc>
      </w:tr>
      <w:tr w14:paraId="3F821AED">
        <w:tblPrEx>
          <w:tblCellMar>
            <w:top w:w="0" w:type="dxa"/>
            <w:left w:w="108" w:type="dxa"/>
            <w:bottom w:w="0" w:type="dxa"/>
            <w:right w:w="108" w:type="dxa"/>
          </w:tblCellMar>
        </w:tblPrEx>
        <w:trPr>
          <w:trHeight w:val="1070"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7E7108FA">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w:t>
            </w:r>
          </w:p>
        </w:tc>
        <w:tc>
          <w:tcPr>
            <w:tcW w:w="1069" w:type="pct"/>
            <w:tcBorders>
              <w:top w:val="nil"/>
              <w:left w:val="nil"/>
              <w:bottom w:val="single" w:color="auto" w:sz="4" w:space="0"/>
              <w:right w:val="single" w:color="auto" w:sz="4" w:space="0"/>
            </w:tcBorders>
            <w:shd w:val="clear" w:color="auto" w:fill="auto"/>
            <w:noWrap/>
            <w:vAlign w:val="center"/>
          </w:tcPr>
          <w:p w14:paraId="221F25A5">
            <w:pPr>
              <w:jc w:val="center"/>
              <w:rPr>
                <w:color w:val="000000"/>
                <w:sz w:val="28"/>
                <w:szCs w:val="28"/>
              </w:rPr>
            </w:pPr>
            <w:r>
              <w:rPr>
                <w:color w:val="000000"/>
                <w:sz w:val="28"/>
                <w:szCs w:val="28"/>
              </w:rPr>
              <w:t xml:space="preserve"> Javen </w:t>
            </w:r>
          </w:p>
        </w:tc>
        <w:tc>
          <w:tcPr>
            <w:tcW w:w="2400" w:type="pct"/>
            <w:tcBorders>
              <w:top w:val="single" w:color="auto" w:sz="4" w:space="0"/>
              <w:left w:val="nil"/>
              <w:bottom w:val="single" w:color="auto" w:sz="4" w:space="0"/>
              <w:right w:val="single" w:color="auto" w:sz="4" w:space="0"/>
            </w:tcBorders>
            <w:vAlign w:val="center"/>
          </w:tcPr>
          <w:p w14:paraId="4D560137">
            <w:pPr>
              <w:rPr>
                <w:color w:val="000000"/>
                <w:sz w:val="28"/>
                <w:szCs w:val="28"/>
              </w:rPr>
            </w:pPr>
            <w:r>
              <w:rPr>
                <w:color w:val="000000"/>
                <w:sz w:val="28"/>
                <w:szCs w:val="28"/>
              </w:rPr>
              <w:t>- Thành phần: Javen ≥ 12%</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753B94">
            <w:pPr>
              <w:jc w:val="center"/>
              <w:rPr>
                <w:color w:val="000000"/>
                <w:sz w:val="28"/>
                <w:szCs w:val="28"/>
              </w:rPr>
            </w:pPr>
            <w:r>
              <w:rPr>
                <w:color w:val="000000"/>
                <w:sz w:val="28"/>
                <w:szCs w:val="28"/>
              </w:rPr>
              <w:t xml:space="preserve"> lít </w:t>
            </w:r>
          </w:p>
        </w:tc>
        <w:tc>
          <w:tcPr>
            <w:tcW w:w="588" w:type="pct"/>
            <w:tcBorders>
              <w:top w:val="nil"/>
              <w:left w:val="nil"/>
              <w:bottom w:val="single" w:color="auto" w:sz="4" w:space="0"/>
              <w:right w:val="single" w:color="auto" w:sz="4" w:space="0"/>
            </w:tcBorders>
            <w:shd w:val="clear" w:color="auto" w:fill="auto"/>
            <w:noWrap/>
            <w:vAlign w:val="center"/>
          </w:tcPr>
          <w:p w14:paraId="46E491D5">
            <w:pPr>
              <w:rPr>
                <w:color w:val="000000"/>
              </w:rPr>
            </w:pPr>
            <w:r>
              <w:rPr>
                <w:color w:val="000000"/>
                <w:sz w:val="28"/>
                <w:szCs w:val="28"/>
              </w:rPr>
              <w:t xml:space="preserve">1.400 </w:t>
            </w:r>
          </w:p>
        </w:tc>
      </w:tr>
      <w:tr w14:paraId="461B53BF">
        <w:tblPrEx>
          <w:tblCellMar>
            <w:top w:w="0" w:type="dxa"/>
            <w:left w:w="108" w:type="dxa"/>
            <w:bottom w:w="0" w:type="dxa"/>
            <w:right w:w="108" w:type="dxa"/>
          </w:tblCellMar>
        </w:tblPrEx>
        <w:trPr>
          <w:trHeight w:val="1935"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16EB78C8">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2</w:t>
            </w:r>
          </w:p>
        </w:tc>
        <w:tc>
          <w:tcPr>
            <w:tcW w:w="1069" w:type="pct"/>
            <w:tcBorders>
              <w:top w:val="nil"/>
              <w:left w:val="nil"/>
              <w:bottom w:val="single" w:color="auto" w:sz="4" w:space="0"/>
              <w:right w:val="single" w:color="auto" w:sz="4" w:space="0"/>
            </w:tcBorders>
            <w:shd w:val="clear" w:color="auto" w:fill="auto"/>
            <w:noWrap/>
            <w:vAlign w:val="center"/>
          </w:tcPr>
          <w:p w14:paraId="304CC979">
            <w:pPr>
              <w:jc w:val="center"/>
              <w:rPr>
                <w:color w:val="000000"/>
                <w:sz w:val="28"/>
                <w:szCs w:val="28"/>
              </w:rPr>
            </w:pPr>
            <w:r>
              <w:rPr>
                <w:color w:val="000000"/>
                <w:sz w:val="28"/>
                <w:szCs w:val="28"/>
              </w:rPr>
              <w:t xml:space="preserve"> Trichloroisocyanuric acid </w:t>
            </w:r>
          </w:p>
        </w:tc>
        <w:tc>
          <w:tcPr>
            <w:tcW w:w="2400" w:type="pct"/>
            <w:tcBorders>
              <w:top w:val="single" w:color="auto" w:sz="4" w:space="0"/>
              <w:left w:val="nil"/>
              <w:bottom w:val="single" w:color="auto" w:sz="4" w:space="0"/>
              <w:right w:val="single" w:color="auto" w:sz="4" w:space="0"/>
            </w:tcBorders>
            <w:vAlign w:val="center"/>
          </w:tcPr>
          <w:p w14:paraId="27B5C50A">
            <w:pPr>
              <w:rPr>
                <w:color w:val="000000"/>
                <w:sz w:val="28"/>
                <w:szCs w:val="28"/>
              </w:rPr>
            </w:pPr>
            <w:r>
              <w:rPr>
                <w:color w:val="000000"/>
                <w:sz w:val="28"/>
                <w:szCs w:val="28"/>
              </w:rPr>
              <w:t>- Thành phần: Trichloroisocyanuric acid ≥ 90%</w:t>
            </w:r>
            <w:r>
              <w:rPr>
                <w:color w:val="000000"/>
                <w:sz w:val="28"/>
                <w:szCs w:val="28"/>
              </w:rPr>
              <w:br w:type="textWrapping"/>
            </w:r>
            <w:r>
              <w:rPr>
                <w:color w:val="000000"/>
                <w:sz w:val="28"/>
                <w:szCs w:val="28"/>
              </w:rPr>
              <w:t>- Dạng viên, khối lượng 200g ± 10% /viên</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7C393D">
            <w:pPr>
              <w:jc w:val="center"/>
              <w:rPr>
                <w:color w:val="000000"/>
                <w:sz w:val="28"/>
                <w:szCs w:val="28"/>
              </w:rPr>
            </w:pPr>
            <w:r>
              <w:rPr>
                <w:color w:val="000000"/>
                <w:sz w:val="28"/>
                <w:szCs w:val="28"/>
              </w:rPr>
              <w:t xml:space="preserve">kg </w:t>
            </w:r>
          </w:p>
        </w:tc>
        <w:tc>
          <w:tcPr>
            <w:tcW w:w="588" w:type="pct"/>
            <w:tcBorders>
              <w:top w:val="nil"/>
              <w:left w:val="nil"/>
              <w:bottom w:val="single" w:color="auto" w:sz="4" w:space="0"/>
              <w:right w:val="single" w:color="auto" w:sz="4" w:space="0"/>
            </w:tcBorders>
            <w:shd w:val="clear" w:color="auto" w:fill="auto"/>
            <w:noWrap/>
            <w:vAlign w:val="center"/>
          </w:tcPr>
          <w:p w14:paraId="7CC3ED21">
            <w:pPr>
              <w:jc w:val="center"/>
              <w:rPr>
                <w:color w:val="000000"/>
                <w:sz w:val="28"/>
                <w:szCs w:val="28"/>
              </w:rPr>
            </w:pPr>
            <w:r>
              <w:rPr>
                <w:color w:val="000000"/>
                <w:sz w:val="28"/>
                <w:szCs w:val="28"/>
              </w:rPr>
              <w:t xml:space="preserve">400 </w:t>
            </w:r>
          </w:p>
        </w:tc>
      </w:tr>
      <w:tr w14:paraId="3AA2FE6B">
        <w:tblPrEx>
          <w:tblCellMar>
            <w:top w:w="0" w:type="dxa"/>
            <w:left w:w="108" w:type="dxa"/>
            <w:bottom w:w="0" w:type="dxa"/>
            <w:right w:w="108" w:type="dxa"/>
          </w:tblCellMar>
        </w:tblPrEx>
        <w:trPr>
          <w:trHeight w:val="880"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324E74AF">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3</w:t>
            </w:r>
          </w:p>
        </w:tc>
        <w:tc>
          <w:tcPr>
            <w:tcW w:w="1069" w:type="pct"/>
            <w:tcBorders>
              <w:top w:val="nil"/>
              <w:left w:val="nil"/>
              <w:bottom w:val="single" w:color="auto" w:sz="4" w:space="0"/>
              <w:right w:val="single" w:color="auto" w:sz="4" w:space="0"/>
            </w:tcBorders>
            <w:shd w:val="clear" w:color="auto" w:fill="auto"/>
            <w:noWrap/>
            <w:vAlign w:val="center"/>
          </w:tcPr>
          <w:p w14:paraId="1C782948">
            <w:pPr>
              <w:jc w:val="center"/>
              <w:rPr>
                <w:color w:val="000000"/>
                <w:sz w:val="28"/>
                <w:szCs w:val="28"/>
              </w:rPr>
            </w:pPr>
            <w:r>
              <w:rPr>
                <w:color w:val="000000"/>
                <w:sz w:val="28"/>
                <w:szCs w:val="28"/>
              </w:rPr>
              <w:t xml:space="preserve"> Cloramin B </w:t>
            </w:r>
          </w:p>
        </w:tc>
        <w:tc>
          <w:tcPr>
            <w:tcW w:w="2400" w:type="pct"/>
            <w:tcBorders>
              <w:top w:val="single" w:color="auto" w:sz="4" w:space="0"/>
              <w:left w:val="nil"/>
              <w:bottom w:val="single" w:color="auto" w:sz="4" w:space="0"/>
              <w:right w:val="single" w:color="auto" w:sz="4" w:space="0"/>
            </w:tcBorders>
            <w:vAlign w:val="center"/>
          </w:tcPr>
          <w:p w14:paraId="1BA3A90E">
            <w:pPr>
              <w:rPr>
                <w:color w:val="000000"/>
                <w:sz w:val="28"/>
                <w:szCs w:val="28"/>
              </w:rPr>
            </w:pPr>
            <w:r>
              <w:rPr>
                <w:color w:val="000000"/>
                <w:sz w:val="28"/>
                <w:szCs w:val="28"/>
              </w:rPr>
              <w:t>- Thành phần: Cloramin B ≥ 25%</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1EA32F">
            <w:pPr>
              <w:jc w:val="center"/>
              <w:rPr>
                <w:color w:val="000000"/>
                <w:sz w:val="28"/>
                <w:szCs w:val="28"/>
              </w:rPr>
            </w:pPr>
            <w:r>
              <w:rPr>
                <w:color w:val="000000"/>
                <w:sz w:val="28"/>
                <w:szCs w:val="28"/>
              </w:rPr>
              <w:t xml:space="preserve">kg </w:t>
            </w:r>
          </w:p>
        </w:tc>
        <w:tc>
          <w:tcPr>
            <w:tcW w:w="588" w:type="pct"/>
            <w:tcBorders>
              <w:top w:val="nil"/>
              <w:left w:val="nil"/>
              <w:bottom w:val="single" w:color="auto" w:sz="4" w:space="0"/>
              <w:right w:val="single" w:color="auto" w:sz="4" w:space="0"/>
            </w:tcBorders>
            <w:shd w:val="clear" w:color="auto" w:fill="auto"/>
            <w:noWrap/>
            <w:vAlign w:val="center"/>
          </w:tcPr>
          <w:p w14:paraId="37B8D772">
            <w:pPr>
              <w:jc w:val="center"/>
              <w:rPr>
                <w:color w:val="000000"/>
                <w:sz w:val="28"/>
                <w:szCs w:val="28"/>
              </w:rPr>
            </w:pPr>
            <w:r>
              <w:rPr>
                <w:color w:val="000000"/>
                <w:sz w:val="28"/>
                <w:szCs w:val="28"/>
              </w:rPr>
              <w:t xml:space="preserve">500 </w:t>
            </w:r>
          </w:p>
        </w:tc>
      </w:tr>
      <w:tr w14:paraId="7E90EA7E">
        <w:tblPrEx>
          <w:tblCellMar>
            <w:top w:w="0" w:type="dxa"/>
            <w:left w:w="108" w:type="dxa"/>
            <w:bottom w:w="0" w:type="dxa"/>
            <w:right w:w="108" w:type="dxa"/>
          </w:tblCellMar>
        </w:tblPrEx>
        <w:trPr>
          <w:trHeight w:val="1126"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5BB4C978">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4</w:t>
            </w:r>
          </w:p>
        </w:tc>
        <w:tc>
          <w:tcPr>
            <w:tcW w:w="1069" w:type="pct"/>
            <w:tcBorders>
              <w:top w:val="nil"/>
              <w:left w:val="nil"/>
              <w:bottom w:val="single" w:color="auto" w:sz="4" w:space="0"/>
              <w:right w:val="single" w:color="auto" w:sz="4" w:space="0"/>
            </w:tcBorders>
            <w:shd w:val="clear" w:color="auto" w:fill="auto"/>
            <w:noWrap/>
            <w:vAlign w:val="center"/>
          </w:tcPr>
          <w:p w14:paraId="62DCB021">
            <w:pPr>
              <w:jc w:val="center"/>
              <w:rPr>
                <w:color w:val="000000"/>
                <w:sz w:val="28"/>
                <w:szCs w:val="28"/>
              </w:rPr>
            </w:pPr>
            <w:r>
              <w:rPr>
                <w:color w:val="000000"/>
                <w:sz w:val="28"/>
                <w:szCs w:val="28"/>
              </w:rPr>
              <w:t xml:space="preserve"> Oxy già </w:t>
            </w:r>
          </w:p>
        </w:tc>
        <w:tc>
          <w:tcPr>
            <w:tcW w:w="2400" w:type="pct"/>
            <w:tcBorders>
              <w:top w:val="single" w:color="auto" w:sz="4" w:space="0"/>
              <w:left w:val="nil"/>
              <w:bottom w:val="single" w:color="auto" w:sz="4" w:space="0"/>
              <w:right w:val="single" w:color="auto" w:sz="4" w:space="0"/>
            </w:tcBorders>
            <w:vAlign w:val="center"/>
          </w:tcPr>
          <w:p w14:paraId="66A57AF2">
            <w:pPr>
              <w:rPr>
                <w:color w:val="000000"/>
                <w:sz w:val="28"/>
                <w:szCs w:val="28"/>
              </w:rPr>
            </w:pPr>
            <w:r>
              <w:rPr>
                <w:color w:val="000000"/>
                <w:sz w:val="28"/>
                <w:szCs w:val="28"/>
              </w:rPr>
              <w:t>- Thành phần: Oxy già ≥  3%</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DFE776">
            <w:pPr>
              <w:jc w:val="center"/>
              <w:rPr>
                <w:color w:val="000000"/>
                <w:sz w:val="28"/>
                <w:szCs w:val="28"/>
              </w:rPr>
            </w:pPr>
            <w:r>
              <w:rPr>
                <w:color w:val="000000"/>
                <w:sz w:val="28"/>
                <w:szCs w:val="28"/>
              </w:rPr>
              <w:t xml:space="preserve">lít </w:t>
            </w:r>
          </w:p>
        </w:tc>
        <w:tc>
          <w:tcPr>
            <w:tcW w:w="588" w:type="pct"/>
            <w:tcBorders>
              <w:top w:val="nil"/>
              <w:left w:val="nil"/>
              <w:bottom w:val="single" w:color="auto" w:sz="4" w:space="0"/>
              <w:right w:val="single" w:color="auto" w:sz="4" w:space="0"/>
            </w:tcBorders>
            <w:shd w:val="clear" w:color="auto" w:fill="auto"/>
            <w:noWrap/>
            <w:vAlign w:val="center"/>
          </w:tcPr>
          <w:p w14:paraId="68A7E625">
            <w:pPr>
              <w:jc w:val="center"/>
              <w:rPr>
                <w:color w:val="000000"/>
                <w:sz w:val="28"/>
                <w:szCs w:val="28"/>
              </w:rPr>
            </w:pPr>
            <w:r>
              <w:rPr>
                <w:color w:val="000000"/>
                <w:sz w:val="28"/>
                <w:szCs w:val="28"/>
              </w:rPr>
              <w:t xml:space="preserve">500 </w:t>
            </w:r>
          </w:p>
        </w:tc>
      </w:tr>
      <w:tr w14:paraId="2BAC0A1C">
        <w:tblPrEx>
          <w:tblCellMar>
            <w:top w:w="0" w:type="dxa"/>
            <w:left w:w="108" w:type="dxa"/>
            <w:bottom w:w="0" w:type="dxa"/>
            <w:right w:w="108" w:type="dxa"/>
          </w:tblCellMar>
        </w:tblPrEx>
        <w:trPr>
          <w:trHeight w:val="844"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11BC83BC">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5</w:t>
            </w:r>
          </w:p>
        </w:tc>
        <w:tc>
          <w:tcPr>
            <w:tcW w:w="1069" w:type="pct"/>
            <w:tcBorders>
              <w:top w:val="nil"/>
              <w:left w:val="nil"/>
              <w:bottom w:val="single" w:color="auto" w:sz="4" w:space="0"/>
              <w:right w:val="single" w:color="auto" w:sz="4" w:space="0"/>
            </w:tcBorders>
            <w:shd w:val="clear" w:color="auto" w:fill="auto"/>
            <w:noWrap/>
            <w:vAlign w:val="center"/>
          </w:tcPr>
          <w:p w14:paraId="389808BB">
            <w:pPr>
              <w:jc w:val="center"/>
              <w:rPr>
                <w:color w:val="000000"/>
                <w:sz w:val="28"/>
                <w:szCs w:val="28"/>
              </w:rPr>
            </w:pPr>
            <w:r>
              <w:rPr>
                <w:color w:val="000000"/>
                <w:sz w:val="28"/>
                <w:szCs w:val="28"/>
              </w:rPr>
              <w:t xml:space="preserve"> Dung dịch khử khuẩn bề mặt </w:t>
            </w:r>
          </w:p>
        </w:tc>
        <w:tc>
          <w:tcPr>
            <w:tcW w:w="2400" w:type="pct"/>
            <w:tcBorders>
              <w:top w:val="single" w:color="auto" w:sz="4" w:space="0"/>
              <w:left w:val="nil"/>
              <w:bottom w:val="single" w:color="auto" w:sz="4" w:space="0"/>
              <w:right w:val="single" w:color="auto" w:sz="4" w:space="0"/>
            </w:tcBorders>
            <w:vAlign w:val="center"/>
          </w:tcPr>
          <w:p w14:paraId="36DB1CC6">
            <w:pPr>
              <w:rPr>
                <w:color w:val="000000"/>
                <w:sz w:val="28"/>
                <w:szCs w:val="28"/>
              </w:rPr>
            </w:pPr>
            <w:r>
              <w:rPr>
                <w:color w:val="000000"/>
                <w:sz w:val="28"/>
                <w:szCs w:val="28"/>
              </w:rPr>
              <w:t>- Có phổ kháng khuẩn rộng: vi khuẩn, nấm, ....</w:t>
            </w:r>
            <w:r>
              <w:rPr>
                <w:color w:val="000000"/>
                <w:sz w:val="28"/>
                <w:szCs w:val="28"/>
              </w:rPr>
              <w:br w:type="textWrapping"/>
            </w:r>
            <w:r>
              <w:rPr>
                <w:color w:val="000000"/>
                <w:sz w:val="28"/>
                <w:szCs w:val="28"/>
              </w:rPr>
              <w:t>- Thành phần: Hydrogen peroxide, Ion Ag</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77D3AC">
            <w:pPr>
              <w:jc w:val="center"/>
              <w:rPr>
                <w:color w:val="000000"/>
                <w:sz w:val="28"/>
                <w:szCs w:val="28"/>
              </w:rPr>
            </w:pPr>
            <w:r>
              <w:rPr>
                <w:color w:val="000000"/>
                <w:sz w:val="28"/>
                <w:szCs w:val="28"/>
              </w:rPr>
              <w:t xml:space="preserve">lít </w:t>
            </w:r>
          </w:p>
        </w:tc>
        <w:tc>
          <w:tcPr>
            <w:tcW w:w="588" w:type="pct"/>
            <w:tcBorders>
              <w:top w:val="nil"/>
              <w:left w:val="nil"/>
              <w:bottom w:val="single" w:color="auto" w:sz="4" w:space="0"/>
              <w:right w:val="single" w:color="auto" w:sz="4" w:space="0"/>
            </w:tcBorders>
            <w:shd w:val="clear" w:color="auto" w:fill="auto"/>
            <w:noWrap/>
            <w:vAlign w:val="center"/>
          </w:tcPr>
          <w:p w14:paraId="5E53896C">
            <w:pPr>
              <w:jc w:val="center"/>
              <w:rPr>
                <w:color w:val="000000"/>
                <w:sz w:val="28"/>
                <w:szCs w:val="28"/>
              </w:rPr>
            </w:pPr>
            <w:r>
              <w:rPr>
                <w:color w:val="000000"/>
                <w:sz w:val="28"/>
                <w:szCs w:val="28"/>
              </w:rPr>
              <w:t xml:space="preserve">330 </w:t>
            </w:r>
          </w:p>
        </w:tc>
      </w:tr>
      <w:tr w14:paraId="22E619B8">
        <w:tblPrEx>
          <w:tblCellMar>
            <w:top w:w="0" w:type="dxa"/>
            <w:left w:w="108" w:type="dxa"/>
            <w:bottom w:w="0" w:type="dxa"/>
            <w:right w:w="108" w:type="dxa"/>
          </w:tblCellMar>
        </w:tblPrEx>
        <w:trPr>
          <w:trHeight w:val="971"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3283B9FF">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6</w:t>
            </w:r>
          </w:p>
        </w:tc>
        <w:tc>
          <w:tcPr>
            <w:tcW w:w="1069" w:type="pct"/>
            <w:tcBorders>
              <w:top w:val="nil"/>
              <w:left w:val="nil"/>
              <w:bottom w:val="single" w:color="auto" w:sz="4" w:space="0"/>
              <w:right w:val="single" w:color="auto" w:sz="4" w:space="0"/>
            </w:tcBorders>
            <w:shd w:val="clear" w:color="auto" w:fill="auto"/>
            <w:noWrap/>
            <w:vAlign w:val="center"/>
          </w:tcPr>
          <w:p w14:paraId="4954A92D">
            <w:pPr>
              <w:jc w:val="center"/>
              <w:rPr>
                <w:color w:val="000000"/>
                <w:sz w:val="28"/>
                <w:szCs w:val="28"/>
              </w:rPr>
            </w:pPr>
            <w:r>
              <w:rPr>
                <w:color w:val="000000"/>
                <w:sz w:val="28"/>
                <w:szCs w:val="28"/>
              </w:rPr>
              <w:t xml:space="preserve"> Dầu Parafin </w:t>
            </w:r>
          </w:p>
        </w:tc>
        <w:tc>
          <w:tcPr>
            <w:tcW w:w="2400" w:type="pct"/>
            <w:tcBorders>
              <w:top w:val="single" w:color="auto" w:sz="4" w:space="0"/>
              <w:left w:val="nil"/>
              <w:bottom w:val="single" w:color="auto" w:sz="4" w:space="0"/>
              <w:right w:val="single" w:color="auto" w:sz="4" w:space="0"/>
            </w:tcBorders>
            <w:vAlign w:val="center"/>
          </w:tcPr>
          <w:p w14:paraId="7F5E28EA">
            <w:pPr>
              <w:rPr>
                <w:color w:val="000000"/>
                <w:sz w:val="28"/>
                <w:szCs w:val="28"/>
              </w:rPr>
            </w:pPr>
            <w:r>
              <w:rPr>
                <w:color w:val="000000"/>
                <w:sz w:val="28"/>
                <w:szCs w:val="28"/>
              </w:rPr>
              <w:t>- Thành phần: Parafin lỏng</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2040E0">
            <w:pPr>
              <w:jc w:val="center"/>
              <w:rPr>
                <w:color w:val="000000"/>
                <w:sz w:val="28"/>
                <w:szCs w:val="28"/>
              </w:rPr>
            </w:pPr>
            <w:r>
              <w:rPr>
                <w:color w:val="000000"/>
                <w:sz w:val="28"/>
                <w:szCs w:val="28"/>
              </w:rPr>
              <w:t xml:space="preserve">lít </w:t>
            </w:r>
          </w:p>
        </w:tc>
        <w:tc>
          <w:tcPr>
            <w:tcW w:w="588" w:type="pct"/>
            <w:tcBorders>
              <w:top w:val="nil"/>
              <w:left w:val="nil"/>
              <w:bottom w:val="single" w:color="auto" w:sz="4" w:space="0"/>
              <w:right w:val="single" w:color="auto" w:sz="4" w:space="0"/>
            </w:tcBorders>
            <w:shd w:val="clear" w:color="auto" w:fill="auto"/>
            <w:noWrap/>
            <w:vAlign w:val="center"/>
          </w:tcPr>
          <w:p w14:paraId="07EC0C80">
            <w:pPr>
              <w:jc w:val="center"/>
              <w:rPr>
                <w:color w:val="000000"/>
                <w:sz w:val="28"/>
                <w:szCs w:val="28"/>
              </w:rPr>
            </w:pPr>
            <w:r>
              <w:rPr>
                <w:color w:val="000000"/>
                <w:sz w:val="28"/>
                <w:szCs w:val="28"/>
              </w:rPr>
              <w:t xml:space="preserve">12 </w:t>
            </w:r>
          </w:p>
        </w:tc>
      </w:tr>
      <w:tr w14:paraId="31FF2B12">
        <w:tblPrEx>
          <w:tblCellMar>
            <w:top w:w="0" w:type="dxa"/>
            <w:left w:w="108" w:type="dxa"/>
            <w:bottom w:w="0" w:type="dxa"/>
            <w:right w:w="108" w:type="dxa"/>
          </w:tblCellMar>
        </w:tblPrEx>
        <w:trPr>
          <w:trHeight w:val="850"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05A6ABBB">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7</w:t>
            </w:r>
          </w:p>
        </w:tc>
        <w:tc>
          <w:tcPr>
            <w:tcW w:w="1069" w:type="pct"/>
            <w:tcBorders>
              <w:top w:val="nil"/>
              <w:left w:val="nil"/>
              <w:bottom w:val="single" w:color="auto" w:sz="4" w:space="0"/>
              <w:right w:val="single" w:color="auto" w:sz="4" w:space="0"/>
            </w:tcBorders>
            <w:shd w:val="clear" w:color="auto" w:fill="auto"/>
            <w:noWrap/>
            <w:vAlign w:val="center"/>
          </w:tcPr>
          <w:p w14:paraId="52673DEB">
            <w:pPr>
              <w:jc w:val="center"/>
              <w:rPr>
                <w:color w:val="000000"/>
                <w:sz w:val="28"/>
                <w:szCs w:val="28"/>
              </w:rPr>
            </w:pPr>
            <w:r>
              <w:rPr>
                <w:color w:val="000000"/>
                <w:sz w:val="28"/>
                <w:szCs w:val="28"/>
              </w:rPr>
              <w:t xml:space="preserve"> Glucose  </w:t>
            </w:r>
          </w:p>
        </w:tc>
        <w:tc>
          <w:tcPr>
            <w:tcW w:w="2400" w:type="pct"/>
            <w:tcBorders>
              <w:top w:val="single" w:color="auto" w:sz="4" w:space="0"/>
              <w:left w:val="nil"/>
              <w:bottom w:val="single" w:color="auto" w:sz="4" w:space="0"/>
              <w:right w:val="single" w:color="auto" w:sz="4" w:space="0"/>
            </w:tcBorders>
            <w:vAlign w:val="center"/>
          </w:tcPr>
          <w:p w14:paraId="1AC92F6C">
            <w:pPr>
              <w:rPr>
                <w:color w:val="000000"/>
                <w:sz w:val="28"/>
                <w:szCs w:val="28"/>
              </w:rPr>
            </w:pPr>
            <w:r>
              <w:rPr>
                <w:color w:val="000000"/>
                <w:sz w:val="28"/>
                <w:szCs w:val="28"/>
              </w:rPr>
              <w:t>- Thành phần: Glucose</w:t>
            </w:r>
            <w:r>
              <w:rPr>
                <w:color w:val="000000"/>
                <w:sz w:val="28"/>
                <w:szCs w:val="28"/>
              </w:rPr>
              <w:br w:type="textWrapping"/>
            </w:r>
            <w:r>
              <w:rPr>
                <w:color w:val="000000"/>
                <w:sz w:val="28"/>
                <w:szCs w:val="28"/>
              </w:rPr>
              <w:t xml:space="preserve">- Đóng gói: tối thiểu 500g/gói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F9BF54">
            <w:pPr>
              <w:jc w:val="center"/>
              <w:rPr>
                <w:color w:val="000000"/>
                <w:sz w:val="28"/>
                <w:szCs w:val="28"/>
              </w:rPr>
            </w:pPr>
            <w:r>
              <w:rPr>
                <w:color w:val="000000"/>
                <w:sz w:val="28"/>
                <w:szCs w:val="28"/>
              </w:rPr>
              <w:t xml:space="preserve">gói </w:t>
            </w:r>
          </w:p>
        </w:tc>
        <w:tc>
          <w:tcPr>
            <w:tcW w:w="588" w:type="pct"/>
            <w:tcBorders>
              <w:top w:val="nil"/>
              <w:left w:val="nil"/>
              <w:bottom w:val="single" w:color="auto" w:sz="4" w:space="0"/>
              <w:right w:val="single" w:color="auto" w:sz="4" w:space="0"/>
            </w:tcBorders>
            <w:shd w:val="clear" w:color="auto" w:fill="auto"/>
            <w:noWrap/>
            <w:vAlign w:val="center"/>
          </w:tcPr>
          <w:p w14:paraId="637CB651">
            <w:pPr>
              <w:jc w:val="center"/>
              <w:rPr>
                <w:color w:val="000000"/>
                <w:sz w:val="28"/>
                <w:szCs w:val="28"/>
              </w:rPr>
            </w:pPr>
            <w:r>
              <w:rPr>
                <w:color w:val="000000"/>
                <w:sz w:val="28"/>
                <w:szCs w:val="28"/>
              </w:rPr>
              <w:t xml:space="preserve">12 </w:t>
            </w:r>
          </w:p>
        </w:tc>
      </w:tr>
      <w:tr w14:paraId="48958841">
        <w:tblPrEx>
          <w:tblCellMar>
            <w:top w:w="0" w:type="dxa"/>
            <w:left w:w="108" w:type="dxa"/>
            <w:bottom w:w="0" w:type="dxa"/>
            <w:right w:w="108" w:type="dxa"/>
          </w:tblCellMar>
        </w:tblPrEx>
        <w:trPr>
          <w:trHeight w:val="783"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0AFD160D">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8</w:t>
            </w:r>
          </w:p>
        </w:tc>
        <w:tc>
          <w:tcPr>
            <w:tcW w:w="1069" w:type="pct"/>
            <w:tcBorders>
              <w:top w:val="nil"/>
              <w:left w:val="nil"/>
              <w:bottom w:val="single" w:color="auto" w:sz="4" w:space="0"/>
              <w:right w:val="single" w:color="auto" w:sz="4" w:space="0"/>
            </w:tcBorders>
            <w:shd w:val="clear" w:color="auto" w:fill="auto"/>
            <w:noWrap/>
            <w:vAlign w:val="center"/>
          </w:tcPr>
          <w:p w14:paraId="0CFC52A5">
            <w:pPr>
              <w:jc w:val="center"/>
              <w:rPr>
                <w:color w:val="000000"/>
                <w:sz w:val="28"/>
                <w:szCs w:val="28"/>
              </w:rPr>
            </w:pPr>
            <w:r>
              <w:rPr>
                <w:color w:val="000000"/>
                <w:sz w:val="28"/>
                <w:szCs w:val="28"/>
              </w:rPr>
              <w:t xml:space="preserve"> Than hoạt tính </w:t>
            </w:r>
          </w:p>
        </w:tc>
        <w:tc>
          <w:tcPr>
            <w:tcW w:w="2400" w:type="pct"/>
            <w:tcBorders>
              <w:top w:val="single" w:color="auto" w:sz="4" w:space="0"/>
              <w:left w:val="nil"/>
              <w:bottom w:val="single" w:color="auto" w:sz="4" w:space="0"/>
              <w:right w:val="single" w:color="auto" w:sz="4" w:space="0"/>
            </w:tcBorders>
            <w:vAlign w:val="center"/>
          </w:tcPr>
          <w:p w14:paraId="556E3F07">
            <w:pPr>
              <w:rPr>
                <w:color w:val="000000"/>
                <w:sz w:val="28"/>
                <w:szCs w:val="28"/>
              </w:rPr>
            </w:pPr>
            <w:r>
              <w:rPr>
                <w:color w:val="000000"/>
                <w:sz w:val="28"/>
                <w:szCs w:val="28"/>
              </w:rPr>
              <w:t>- Được dùng trong y tế để giải độc</w:t>
            </w:r>
            <w:r>
              <w:rPr>
                <w:color w:val="000000"/>
                <w:sz w:val="28"/>
                <w:szCs w:val="28"/>
              </w:rPr>
              <w:br w:type="textWrapping"/>
            </w:r>
            <w:r>
              <w:rPr>
                <w:color w:val="000000"/>
                <w:sz w:val="28"/>
                <w:szCs w:val="28"/>
              </w:rPr>
              <w:t>- Thành phần: than hoạt tính dạng bột mịn</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44B887">
            <w:pPr>
              <w:jc w:val="center"/>
              <w:rPr>
                <w:color w:val="000000"/>
                <w:sz w:val="28"/>
                <w:szCs w:val="28"/>
              </w:rPr>
            </w:pPr>
            <w:r>
              <w:rPr>
                <w:color w:val="000000"/>
                <w:sz w:val="28"/>
                <w:szCs w:val="28"/>
              </w:rPr>
              <w:t xml:space="preserve">kg </w:t>
            </w:r>
          </w:p>
        </w:tc>
        <w:tc>
          <w:tcPr>
            <w:tcW w:w="588" w:type="pct"/>
            <w:tcBorders>
              <w:top w:val="nil"/>
              <w:left w:val="nil"/>
              <w:bottom w:val="single" w:color="auto" w:sz="4" w:space="0"/>
              <w:right w:val="single" w:color="auto" w:sz="4" w:space="0"/>
            </w:tcBorders>
            <w:shd w:val="clear" w:color="auto" w:fill="auto"/>
            <w:noWrap/>
            <w:vAlign w:val="center"/>
          </w:tcPr>
          <w:p w14:paraId="70F4B2A2">
            <w:pPr>
              <w:jc w:val="center"/>
              <w:rPr>
                <w:color w:val="000000"/>
                <w:sz w:val="28"/>
                <w:szCs w:val="28"/>
              </w:rPr>
            </w:pPr>
            <w:r>
              <w:rPr>
                <w:color w:val="000000"/>
                <w:sz w:val="28"/>
                <w:szCs w:val="28"/>
              </w:rPr>
              <w:t xml:space="preserve">3 </w:t>
            </w:r>
          </w:p>
        </w:tc>
      </w:tr>
      <w:tr w14:paraId="0A48C8FA">
        <w:tblPrEx>
          <w:tblCellMar>
            <w:top w:w="0" w:type="dxa"/>
            <w:left w:w="108" w:type="dxa"/>
            <w:bottom w:w="0" w:type="dxa"/>
            <w:right w:w="108" w:type="dxa"/>
          </w:tblCellMar>
        </w:tblPrEx>
        <w:trPr>
          <w:trHeight w:val="1077"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5A526165">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9</w:t>
            </w:r>
          </w:p>
        </w:tc>
        <w:tc>
          <w:tcPr>
            <w:tcW w:w="1069" w:type="pct"/>
            <w:tcBorders>
              <w:top w:val="nil"/>
              <w:left w:val="nil"/>
              <w:bottom w:val="single" w:color="auto" w:sz="4" w:space="0"/>
              <w:right w:val="single" w:color="auto" w:sz="4" w:space="0"/>
            </w:tcBorders>
            <w:shd w:val="clear" w:color="auto" w:fill="auto"/>
            <w:noWrap/>
            <w:vAlign w:val="center"/>
          </w:tcPr>
          <w:p w14:paraId="34B1A97B">
            <w:pPr>
              <w:jc w:val="center"/>
              <w:rPr>
                <w:color w:val="000000"/>
                <w:sz w:val="28"/>
                <w:szCs w:val="28"/>
              </w:rPr>
            </w:pPr>
            <w:r>
              <w:rPr>
                <w:color w:val="000000"/>
                <w:sz w:val="28"/>
                <w:szCs w:val="28"/>
              </w:rPr>
              <w:t xml:space="preserve"> Dung dịch Lugol </w:t>
            </w:r>
          </w:p>
        </w:tc>
        <w:tc>
          <w:tcPr>
            <w:tcW w:w="2400" w:type="pct"/>
            <w:tcBorders>
              <w:top w:val="single" w:color="auto" w:sz="4" w:space="0"/>
              <w:left w:val="nil"/>
              <w:bottom w:val="single" w:color="auto" w:sz="4" w:space="0"/>
              <w:right w:val="single" w:color="auto" w:sz="4" w:space="0"/>
            </w:tcBorders>
            <w:vAlign w:val="center"/>
          </w:tcPr>
          <w:p w14:paraId="41EAD779">
            <w:pPr>
              <w:rPr>
                <w:color w:val="000000"/>
                <w:sz w:val="28"/>
                <w:szCs w:val="28"/>
              </w:rPr>
            </w:pPr>
            <w:r>
              <w:rPr>
                <w:color w:val="000000"/>
                <w:sz w:val="28"/>
                <w:szCs w:val="28"/>
              </w:rPr>
              <w:t>- Dùng cho kỹ thuật sàng lọc ung thư cổ tử cung</w:t>
            </w:r>
            <w:r>
              <w:rPr>
                <w:color w:val="000000"/>
                <w:sz w:val="28"/>
                <w:szCs w:val="28"/>
              </w:rPr>
              <w:br w:type="textWrapping"/>
            </w:r>
            <w:r>
              <w:rPr>
                <w:color w:val="000000"/>
                <w:sz w:val="28"/>
                <w:szCs w:val="28"/>
              </w:rPr>
              <w:t>- Thành phần: Lugol 3%-5%</w:t>
            </w:r>
            <w:r>
              <w:rPr>
                <w:color w:val="000000"/>
                <w:sz w:val="28"/>
                <w:szCs w:val="28"/>
              </w:rPr>
              <w:br w:type="textWrapping"/>
            </w:r>
            <w:r>
              <w:rPr>
                <w:color w:val="000000"/>
                <w:sz w:val="28"/>
                <w:szCs w:val="28"/>
              </w:rPr>
              <w:t xml:space="preserve">- Đóng gói: tối thiểu 500 ml/chai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1ED4C5">
            <w:pPr>
              <w:jc w:val="center"/>
              <w:rPr>
                <w:color w:val="000000"/>
                <w:sz w:val="28"/>
                <w:szCs w:val="28"/>
              </w:rPr>
            </w:pPr>
            <w:r>
              <w:rPr>
                <w:color w:val="000000"/>
                <w:sz w:val="28"/>
                <w:szCs w:val="28"/>
              </w:rPr>
              <w:t xml:space="preserve">chai </w:t>
            </w:r>
          </w:p>
        </w:tc>
        <w:tc>
          <w:tcPr>
            <w:tcW w:w="588" w:type="pct"/>
            <w:tcBorders>
              <w:top w:val="nil"/>
              <w:left w:val="nil"/>
              <w:bottom w:val="single" w:color="auto" w:sz="4" w:space="0"/>
              <w:right w:val="single" w:color="auto" w:sz="4" w:space="0"/>
            </w:tcBorders>
            <w:shd w:val="clear" w:color="auto" w:fill="auto"/>
            <w:noWrap/>
            <w:vAlign w:val="center"/>
          </w:tcPr>
          <w:p w14:paraId="65677891">
            <w:pPr>
              <w:jc w:val="center"/>
              <w:rPr>
                <w:color w:val="000000"/>
                <w:sz w:val="28"/>
                <w:szCs w:val="28"/>
              </w:rPr>
            </w:pPr>
            <w:r>
              <w:rPr>
                <w:color w:val="000000"/>
                <w:sz w:val="28"/>
                <w:szCs w:val="28"/>
              </w:rPr>
              <w:t xml:space="preserve">8 </w:t>
            </w:r>
          </w:p>
        </w:tc>
      </w:tr>
      <w:tr w14:paraId="3D3EEC8F">
        <w:tblPrEx>
          <w:tblCellMar>
            <w:top w:w="0" w:type="dxa"/>
            <w:left w:w="108" w:type="dxa"/>
            <w:bottom w:w="0" w:type="dxa"/>
            <w:right w:w="108" w:type="dxa"/>
          </w:tblCellMar>
        </w:tblPrEx>
        <w:trPr>
          <w:trHeight w:val="814"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20CDCEB3">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10</w:t>
            </w:r>
          </w:p>
        </w:tc>
        <w:tc>
          <w:tcPr>
            <w:tcW w:w="1069" w:type="pct"/>
            <w:tcBorders>
              <w:top w:val="nil"/>
              <w:left w:val="nil"/>
              <w:bottom w:val="single" w:color="auto" w:sz="4" w:space="0"/>
              <w:right w:val="single" w:color="auto" w:sz="4" w:space="0"/>
            </w:tcBorders>
            <w:shd w:val="clear" w:color="auto" w:fill="auto"/>
            <w:noWrap/>
            <w:vAlign w:val="center"/>
          </w:tcPr>
          <w:p w14:paraId="02219770">
            <w:pPr>
              <w:jc w:val="center"/>
              <w:rPr>
                <w:color w:val="000000"/>
                <w:sz w:val="28"/>
                <w:szCs w:val="28"/>
              </w:rPr>
            </w:pPr>
            <w:r>
              <w:rPr>
                <w:color w:val="000000"/>
                <w:sz w:val="28"/>
                <w:szCs w:val="28"/>
              </w:rPr>
              <w:t xml:space="preserve"> Natri hydroxid </w:t>
            </w:r>
          </w:p>
        </w:tc>
        <w:tc>
          <w:tcPr>
            <w:tcW w:w="2400" w:type="pct"/>
            <w:tcBorders>
              <w:top w:val="single" w:color="auto" w:sz="4" w:space="0"/>
              <w:left w:val="nil"/>
              <w:bottom w:val="single" w:color="auto" w:sz="4" w:space="0"/>
              <w:right w:val="single" w:color="auto" w:sz="4" w:space="0"/>
            </w:tcBorders>
            <w:vAlign w:val="center"/>
          </w:tcPr>
          <w:p w14:paraId="525C6209">
            <w:pPr>
              <w:rPr>
                <w:color w:val="000000"/>
                <w:sz w:val="28"/>
                <w:szCs w:val="28"/>
              </w:rPr>
            </w:pPr>
            <w:r>
              <w:rPr>
                <w:color w:val="000000"/>
                <w:sz w:val="28"/>
                <w:szCs w:val="28"/>
              </w:rPr>
              <w:t>- Thành phần: Natri hydroxid</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3969EE">
            <w:pPr>
              <w:jc w:val="center"/>
              <w:rPr>
                <w:color w:val="000000"/>
                <w:sz w:val="28"/>
                <w:szCs w:val="28"/>
              </w:rPr>
            </w:pPr>
            <w:r>
              <w:rPr>
                <w:color w:val="000000"/>
                <w:sz w:val="28"/>
                <w:szCs w:val="28"/>
              </w:rPr>
              <w:t xml:space="preserve">kg </w:t>
            </w:r>
          </w:p>
        </w:tc>
        <w:tc>
          <w:tcPr>
            <w:tcW w:w="588" w:type="pct"/>
            <w:tcBorders>
              <w:top w:val="nil"/>
              <w:left w:val="nil"/>
              <w:bottom w:val="single" w:color="auto" w:sz="4" w:space="0"/>
              <w:right w:val="single" w:color="auto" w:sz="4" w:space="0"/>
            </w:tcBorders>
            <w:shd w:val="clear" w:color="auto" w:fill="auto"/>
            <w:noWrap/>
            <w:vAlign w:val="center"/>
          </w:tcPr>
          <w:p w14:paraId="0263DCD7">
            <w:pPr>
              <w:jc w:val="center"/>
              <w:rPr>
                <w:color w:val="000000"/>
                <w:sz w:val="28"/>
                <w:szCs w:val="28"/>
              </w:rPr>
            </w:pPr>
            <w:r>
              <w:rPr>
                <w:color w:val="000000"/>
                <w:sz w:val="28"/>
                <w:szCs w:val="28"/>
              </w:rPr>
              <w:t xml:space="preserve">25 </w:t>
            </w:r>
          </w:p>
        </w:tc>
      </w:tr>
      <w:tr w14:paraId="5AA43777">
        <w:tblPrEx>
          <w:tblCellMar>
            <w:top w:w="0" w:type="dxa"/>
            <w:left w:w="108" w:type="dxa"/>
            <w:bottom w:w="0" w:type="dxa"/>
            <w:right w:w="108" w:type="dxa"/>
          </w:tblCellMar>
        </w:tblPrEx>
        <w:trPr>
          <w:trHeight w:val="840"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1123DEE4">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11</w:t>
            </w:r>
          </w:p>
        </w:tc>
        <w:tc>
          <w:tcPr>
            <w:tcW w:w="1069" w:type="pct"/>
            <w:tcBorders>
              <w:top w:val="nil"/>
              <w:left w:val="nil"/>
              <w:bottom w:val="single" w:color="auto" w:sz="4" w:space="0"/>
              <w:right w:val="single" w:color="auto" w:sz="4" w:space="0"/>
            </w:tcBorders>
            <w:shd w:val="clear" w:color="auto" w:fill="auto"/>
            <w:noWrap/>
            <w:vAlign w:val="center"/>
          </w:tcPr>
          <w:p w14:paraId="576DB2BA">
            <w:pPr>
              <w:jc w:val="center"/>
              <w:rPr>
                <w:color w:val="000000"/>
                <w:sz w:val="28"/>
                <w:szCs w:val="28"/>
              </w:rPr>
            </w:pPr>
            <w:r>
              <w:rPr>
                <w:color w:val="000000"/>
                <w:sz w:val="28"/>
                <w:szCs w:val="28"/>
              </w:rPr>
              <w:t xml:space="preserve"> Dung dịch xanh Cresyl  </w:t>
            </w:r>
          </w:p>
        </w:tc>
        <w:tc>
          <w:tcPr>
            <w:tcW w:w="2400" w:type="pct"/>
            <w:tcBorders>
              <w:top w:val="single" w:color="auto" w:sz="4" w:space="0"/>
              <w:left w:val="nil"/>
              <w:bottom w:val="single" w:color="auto" w:sz="4" w:space="0"/>
              <w:right w:val="single" w:color="auto" w:sz="4" w:space="0"/>
            </w:tcBorders>
            <w:vAlign w:val="center"/>
          </w:tcPr>
          <w:p w14:paraId="05A59FDD">
            <w:pPr>
              <w:rPr>
                <w:color w:val="000000"/>
                <w:sz w:val="28"/>
                <w:szCs w:val="28"/>
              </w:rPr>
            </w:pPr>
            <w:r>
              <w:rPr>
                <w:color w:val="000000"/>
                <w:sz w:val="28"/>
                <w:szCs w:val="28"/>
              </w:rPr>
              <w:t>- Thành phần: xanh cresyl</w:t>
            </w:r>
            <w:r>
              <w:rPr>
                <w:color w:val="000000"/>
                <w:sz w:val="28"/>
                <w:szCs w:val="28"/>
              </w:rPr>
              <w:br w:type="textWrapping"/>
            </w:r>
            <w:r>
              <w:rPr>
                <w:color w:val="000000"/>
                <w:sz w:val="28"/>
                <w:szCs w:val="28"/>
              </w:rPr>
              <w:t xml:space="preserve">- Đóng gói: tối thiểu 100 ml/chai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87B094">
            <w:pPr>
              <w:jc w:val="center"/>
              <w:rPr>
                <w:color w:val="000000"/>
                <w:sz w:val="28"/>
                <w:szCs w:val="28"/>
              </w:rPr>
            </w:pPr>
            <w:r>
              <w:rPr>
                <w:color w:val="000000"/>
                <w:sz w:val="28"/>
                <w:szCs w:val="28"/>
              </w:rPr>
              <w:t xml:space="preserve">chai </w:t>
            </w:r>
          </w:p>
        </w:tc>
        <w:tc>
          <w:tcPr>
            <w:tcW w:w="588" w:type="pct"/>
            <w:tcBorders>
              <w:top w:val="nil"/>
              <w:left w:val="nil"/>
              <w:bottom w:val="single" w:color="auto" w:sz="4" w:space="0"/>
              <w:right w:val="single" w:color="auto" w:sz="4" w:space="0"/>
            </w:tcBorders>
            <w:shd w:val="clear" w:color="auto" w:fill="auto"/>
            <w:noWrap/>
            <w:vAlign w:val="center"/>
          </w:tcPr>
          <w:p w14:paraId="16A2801F">
            <w:pPr>
              <w:jc w:val="center"/>
              <w:rPr>
                <w:color w:val="000000"/>
                <w:sz w:val="28"/>
                <w:szCs w:val="28"/>
              </w:rPr>
            </w:pPr>
            <w:r>
              <w:rPr>
                <w:color w:val="000000"/>
                <w:sz w:val="28"/>
                <w:szCs w:val="28"/>
              </w:rPr>
              <w:t xml:space="preserve">4 </w:t>
            </w:r>
          </w:p>
        </w:tc>
      </w:tr>
      <w:tr w14:paraId="58CF3E3F">
        <w:tblPrEx>
          <w:tblCellMar>
            <w:top w:w="0" w:type="dxa"/>
            <w:left w:w="108" w:type="dxa"/>
            <w:bottom w:w="0" w:type="dxa"/>
            <w:right w:w="108" w:type="dxa"/>
          </w:tblCellMar>
        </w:tblPrEx>
        <w:trPr>
          <w:trHeight w:val="1139"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35C041CE">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12</w:t>
            </w:r>
          </w:p>
        </w:tc>
        <w:tc>
          <w:tcPr>
            <w:tcW w:w="1069" w:type="pct"/>
            <w:tcBorders>
              <w:top w:val="nil"/>
              <w:left w:val="nil"/>
              <w:bottom w:val="single" w:color="auto" w:sz="4" w:space="0"/>
              <w:right w:val="single" w:color="auto" w:sz="4" w:space="0"/>
            </w:tcBorders>
            <w:shd w:val="clear" w:color="auto" w:fill="auto"/>
            <w:noWrap/>
            <w:vAlign w:val="center"/>
          </w:tcPr>
          <w:p w14:paraId="657295F3">
            <w:pPr>
              <w:jc w:val="center"/>
              <w:rPr>
                <w:color w:val="000000"/>
                <w:sz w:val="28"/>
                <w:szCs w:val="28"/>
              </w:rPr>
            </w:pPr>
            <w:r>
              <w:rPr>
                <w:color w:val="000000"/>
                <w:sz w:val="28"/>
                <w:szCs w:val="28"/>
              </w:rPr>
              <w:t xml:space="preserve"> Dầu soi kính hiển vi </w:t>
            </w:r>
          </w:p>
        </w:tc>
        <w:tc>
          <w:tcPr>
            <w:tcW w:w="2400" w:type="pct"/>
            <w:tcBorders>
              <w:top w:val="single" w:color="auto" w:sz="4" w:space="0"/>
              <w:left w:val="nil"/>
              <w:bottom w:val="single" w:color="auto" w:sz="4" w:space="0"/>
              <w:right w:val="single" w:color="auto" w:sz="4" w:space="0"/>
            </w:tcBorders>
            <w:vAlign w:val="center"/>
          </w:tcPr>
          <w:p w14:paraId="1F6C55FF">
            <w:pPr>
              <w:rPr>
                <w:color w:val="000000"/>
                <w:sz w:val="28"/>
                <w:szCs w:val="28"/>
              </w:rPr>
            </w:pPr>
            <w:r>
              <w:rPr>
                <w:color w:val="000000"/>
                <w:sz w:val="28"/>
                <w:szCs w:val="28"/>
              </w:rPr>
              <w:t>- Dung dịch dầu, dùng cho kính hiển vi, có chỉ số khúc xạ khoảng 1,5</w:t>
            </w:r>
            <w:r>
              <w:rPr>
                <w:color w:val="000000"/>
                <w:sz w:val="28"/>
                <w:szCs w:val="28"/>
              </w:rPr>
              <w:br w:type="textWrapping"/>
            </w:r>
            <w:r>
              <w:rPr>
                <w:color w:val="000000"/>
                <w:sz w:val="28"/>
                <w:szCs w:val="28"/>
              </w:rPr>
              <w:t xml:space="preserve">- Đóng gói: tối thiểu 500 ml/chai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0C2D5C">
            <w:pPr>
              <w:jc w:val="center"/>
              <w:rPr>
                <w:color w:val="000000"/>
                <w:sz w:val="28"/>
                <w:szCs w:val="28"/>
              </w:rPr>
            </w:pPr>
            <w:r>
              <w:rPr>
                <w:color w:val="000000"/>
                <w:sz w:val="28"/>
                <w:szCs w:val="28"/>
              </w:rPr>
              <w:t xml:space="preserve">chai </w:t>
            </w:r>
          </w:p>
        </w:tc>
        <w:tc>
          <w:tcPr>
            <w:tcW w:w="588" w:type="pct"/>
            <w:tcBorders>
              <w:top w:val="nil"/>
              <w:left w:val="nil"/>
              <w:bottom w:val="single" w:color="auto" w:sz="4" w:space="0"/>
              <w:right w:val="single" w:color="auto" w:sz="4" w:space="0"/>
            </w:tcBorders>
            <w:shd w:val="clear" w:color="auto" w:fill="auto"/>
            <w:noWrap/>
            <w:vAlign w:val="center"/>
          </w:tcPr>
          <w:p w14:paraId="699C1761">
            <w:pPr>
              <w:jc w:val="center"/>
              <w:rPr>
                <w:color w:val="000000"/>
                <w:sz w:val="28"/>
                <w:szCs w:val="28"/>
              </w:rPr>
            </w:pPr>
            <w:r>
              <w:rPr>
                <w:color w:val="000000"/>
                <w:sz w:val="28"/>
                <w:szCs w:val="28"/>
              </w:rPr>
              <w:t xml:space="preserve">1 </w:t>
            </w:r>
          </w:p>
        </w:tc>
      </w:tr>
      <w:tr w14:paraId="3B42E3C9">
        <w:tblPrEx>
          <w:tblCellMar>
            <w:top w:w="0" w:type="dxa"/>
            <w:left w:w="108" w:type="dxa"/>
            <w:bottom w:w="0" w:type="dxa"/>
            <w:right w:w="108" w:type="dxa"/>
          </w:tblCellMar>
        </w:tblPrEx>
        <w:trPr>
          <w:trHeight w:val="986"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6EDF6134">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13</w:t>
            </w:r>
          </w:p>
        </w:tc>
        <w:tc>
          <w:tcPr>
            <w:tcW w:w="1069" w:type="pct"/>
            <w:tcBorders>
              <w:top w:val="nil"/>
              <w:left w:val="nil"/>
              <w:bottom w:val="single" w:color="auto" w:sz="4" w:space="0"/>
              <w:right w:val="single" w:color="auto" w:sz="4" w:space="0"/>
            </w:tcBorders>
            <w:shd w:val="clear" w:color="auto" w:fill="auto"/>
            <w:noWrap/>
            <w:vAlign w:val="center"/>
          </w:tcPr>
          <w:p w14:paraId="16FE6129">
            <w:pPr>
              <w:jc w:val="center"/>
              <w:rPr>
                <w:color w:val="000000"/>
                <w:sz w:val="28"/>
                <w:szCs w:val="28"/>
              </w:rPr>
            </w:pPr>
            <w:r>
              <w:rPr>
                <w:color w:val="000000"/>
                <w:sz w:val="28"/>
                <w:szCs w:val="28"/>
              </w:rPr>
              <w:t xml:space="preserve"> Acid acetic</w:t>
            </w:r>
          </w:p>
        </w:tc>
        <w:tc>
          <w:tcPr>
            <w:tcW w:w="2400" w:type="pct"/>
            <w:tcBorders>
              <w:top w:val="single" w:color="auto" w:sz="4" w:space="0"/>
              <w:left w:val="nil"/>
              <w:bottom w:val="single" w:color="auto" w:sz="4" w:space="0"/>
              <w:right w:val="single" w:color="auto" w:sz="4" w:space="0"/>
            </w:tcBorders>
            <w:vAlign w:val="center"/>
          </w:tcPr>
          <w:p w14:paraId="227B067C">
            <w:pPr>
              <w:rPr>
                <w:color w:val="000000"/>
                <w:sz w:val="28"/>
                <w:szCs w:val="28"/>
              </w:rPr>
            </w:pPr>
            <w:r>
              <w:rPr>
                <w:color w:val="000000"/>
                <w:sz w:val="28"/>
                <w:szCs w:val="28"/>
              </w:rPr>
              <w:t>- Thành phần: Acid acetic 3%-5%</w:t>
            </w:r>
            <w:r>
              <w:rPr>
                <w:color w:val="000000"/>
                <w:sz w:val="28"/>
                <w:szCs w:val="28"/>
              </w:rPr>
              <w:br w:type="textWrapping"/>
            </w:r>
            <w:r>
              <w:rPr>
                <w:color w:val="000000"/>
                <w:sz w:val="28"/>
                <w:szCs w:val="28"/>
              </w:rPr>
              <w:t xml:space="preserve">- Đóng gói theo tiêu chuẩn nhà sản xuất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D21F4E">
            <w:pPr>
              <w:jc w:val="center"/>
              <w:rPr>
                <w:color w:val="000000"/>
                <w:sz w:val="28"/>
                <w:szCs w:val="28"/>
              </w:rPr>
            </w:pPr>
            <w:r>
              <w:rPr>
                <w:color w:val="000000"/>
                <w:sz w:val="28"/>
                <w:szCs w:val="28"/>
              </w:rPr>
              <w:t xml:space="preserve">lít </w:t>
            </w:r>
          </w:p>
        </w:tc>
        <w:tc>
          <w:tcPr>
            <w:tcW w:w="588" w:type="pct"/>
            <w:tcBorders>
              <w:top w:val="nil"/>
              <w:left w:val="nil"/>
              <w:bottom w:val="single" w:color="auto" w:sz="4" w:space="0"/>
              <w:right w:val="single" w:color="auto" w:sz="4" w:space="0"/>
            </w:tcBorders>
            <w:shd w:val="clear" w:color="auto" w:fill="auto"/>
            <w:noWrap/>
            <w:vAlign w:val="center"/>
          </w:tcPr>
          <w:p w14:paraId="11E02F5D">
            <w:pPr>
              <w:jc w:val="center"/>
              <w:rPr>
                <w:color w:val="000000"/>
                <w:sz w:val="28"/>
                <w:szCs w:val="28"/>
              </w:rPr>
            </w:pPr>
            <w:r>
              <w:rPr>
                <w:color w:val="000000"/>
                <w:sz w:val="28"/>
                <w:szCs w:val="28"/>
              </w:rPr>
              <w:t xml:space="preserve">9 </w:t>
            </w:r>
          </w:p>
        </w:tc>
      </w:tr>
      <w:tr w14:paraId="464FBE9E">
        <w:tblPrEx>
          <w:tblCellMar>
            <w:top w:w="0" w:type="dxa"/>
            <w:left w:w="108" w:type="dxa"/>
            <w:bottom w:w="0" w:type="dxa"/>
            <w:right w:w="108" w:type="dxa"/>
          </w:tblCellMar>
        </w:tblPrEx>
        <w:trPr>
          <w:trHeight w:val="1542"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036278DC">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14</w:t>
            </w:r>
          </w:p>
        </w:tc>
        <w:tc>
          <w:tcPr>
            <w:tcW w:w="1069" w:type="pct"/>
            <w:tcBorders>
              <w:top w:val="nil"/>
              <w:left w:val="nil"/>
              <w:bottom w:val="single" w:color="auto" w:sz="4" w:space="0"/>
              <w:right w:val="single" w:color="auto" w:sz="4" w:space="0"/>
            </w:tcBorders>
            <w:shd w:val="clear" w:color="auto" w:fill="auto"/>
            <w:noWrap/>
            <w:vAlign w:val="center"/>
          </w:tcPr>
          <w:p w14:paraId="3EFF2174">
            <w:pPr>
              <w:jc w:val="center"/>
              <w:rPr>
                <w:color w:val="000000"/>
                <w:sz w:val="28"/>
                <w:szCs w:val="28"/>
              </w:rPr>
            </w:pPr>
            <w:r>
              <w:rPr>
                <w:color w:val="000000"/>
                <w:sz w:val="28"/>
                <w:szCs w:val="28"/>
              </w:rPr>
              <w:t xml:space="preserve"> Dung dịch sát khuẩn tay nhanh </w:t>
            </w:r>
          </w:p>
        </w:tc>
        <w:tc>
          <w:tcPr>
            <w:tcW w:w="2400" w:type="pct"/>
            <w:tcBorders>
              <w:top w:val="single" w:color="auto" w:sz="4" w:space="0"/>
              <w:left w:val="nil"/>
              <w:bottom w:val="single" w:color="auto" w:sz="4" w:space="0"/>
              <w:right w:val="single" w:color="auto" w:sz="4" w:space="0"/>
            </w:tcBorders>
            <w:vAlign w:val="center"/>
          </w:tcPr>
          <w:p w14:paraId="28392DB5">
            <w:pPr>
              <w:rPr>
                <w:color w:val="000000"/>
                <w:sz w:val="28"/>
                <w:szCs w:val="28"/>
              </w:rPr>
            </w:pPr>
            <w:r>
              <w:rPr>
                <w:color w:val="000000"/>
                <w:sz w:val="28"/>
                <w:szCs w:val="28"/>
              </w:rPr>
              <w:t>- Dùng để sát khuẩn tay nhanh</w:t>
            </w:r>
            <w:r>
              <w:rPr>
                <w:color w:val="000000"/>
                <w:sz w:val="28"/>
                <w:szCs w:val="28"/>
              </w:rPr>
              <w:br w:type="textWrapping"/>
            </w:r>
            <w:r>
              <w:rPr>
                <w:color w:val="000000"/>
                <w:sz w:val="28"/>
                <w:szCs w:val="28"/>
              </w:rPr>
              <w:t xml:space="preserve">- Thành phần: cồn 60%-90%, kèm glycerol 1%-3% hoặc các chất dưỡng da khác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227A7E">
            <w:pPr>
              <w:jc w:val="center"/>
              <w:rPr>
                <w:color w:val="000000"/>
                <w:sz w:val="28"/>
                <w:szCs w:val="28"/>
              </w:rPr>
            </w:pPr>
            <w:r>
              <w:rPr>
                <w:color w:val="000000"/>
                <w:sz w:val="28"/>
                <w:szCs w:val="28"/>
              </w:rPr>
              <w:t xml:space="preserve">lít </w:t>
            </w:r>
          </w:p>
        </w:tc>
        <w:tc>
          <w:tcPr>
            <w:tcW w:w="588" w:type="pct"/>
            <w:tcBorders>
              <w:top w:val="nil"/>
              <w:left w:val="nil"/>
              <w:bottom w:val="single" w:color="auto" w:sz="4" w:space="0"/>
              <w:right w:val="single" w:color="auto" w:sz="4" w:space="0"/>
            </w:tcBorders>
            <w:shd w:val="clear" w:color="auto" w:fill="auto"/>
            <w:noWrap/>
            <w:vAlign w:val="center"/>
          </w:tcPr>
          <w:p w14:paraId="3FC6D558">
            <w:pPr>
              <w:jc w:val="center"/>
              <w:rPr>
                <w:color w:val="000000"/>
                <w:sz w:val="28"/>
                <w:szCs w:val="28"/>
              </w:rPr>
            </w:pPr>
            <w:r>
              <w:rPr>
                <w:color w:val="000000"/>
                <w:sz w:val="28"/>
                <w:szCs w:val="28"/>
              </w:rPr>
              <w:t xml:space="preserve">2.500 </w:t>
            </w:r>
          </w:p>
        </w:tc>
      </w:tr>
      <w:tr w14:paraId="70723401">
        <w:tblPrEx>
          <w:tblCellMar>
            <w:top w:w="0" w:type="dxa"/>
            <w:left w:w="108" w:type="dxa"/>
            <w:bottom w:w="0" w:type="dxa"/>
            <w:right w:w="108" w:type="dxa"/>
          </w:tblCellMar>
        </w:tblPrEx>
        <w:trPr>
          <w:trHeight w:val="1124"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05A0AEDF">
            <w:pPr>
              <w:jc w:val="cente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15</w:t>
            </w:r>
          </w:p>
        </w:tc>
        <w:tc>
          <w:tcPr>
            <w:tcW w:w="1069" w:type="pct"/>
            <w:tcBorders>
              <w:top w:val="nil"/>
              <w:left w:val="nil"/>
              <w:bottom w:val="single" w:color="auto" w:sz="4" w:space="0"/>
              <w:right w:val="single" w:color="auto" w:sz="4" w:space="0"/>
            </w:tcBorders>
            <w:shd w:val="clear" w:color="auto" w:fill="auto"/>
            <w:noWrap/>
            <w:vAlign w:val="center"/>
          </w:tcPr>
          <w:p w14:paraId="40A1454E">
            <w:pPr>
              <w:jc w:val="center"/>
              <w:rPr>
                <w:color w:val="000000"/>
                <w:sz w:val="28"/>
                <w:szCs w:val="28"/>
              </w:rPr>
            </w:pPr>
            <w:r>
              <w:rPr>
                <w:color w:val="000000"/>
                <w:sz w:val="28"/>
                <w:szCs w:val="28"/>
              </w:rPr>
              <w:t xml:space="preserve"> Cồn</w:t>
            </w:r>
            <w:r>
              <w:rPr>
                <w:color w:val="000000"/>
                <w:sz w:val="28"/>
                <w:szCs w:val="28"/>
                <w:lang w:val="vi-VN"/>
              </w:rPr>
              <w:t xml:space="preserve"> tuyệt đối</w:t>
            </w:r>
            <w:r>
              <w:rPr>
                <w:color w:val="000000"/>
                <w:sz w:val="28"/>
                <w:szCs w:val="28"/>
              </w:rPr>
              <w:t xml:space="preserve"> </w:t>
            </w:r>
          </w:p>
        </w:tc>
        <w:tc>
          <w:tcPr>
            <w:tcW w:w="2400" w:type="pct"/>
            <w:tcBorders>
              <w:top w:val="single" w:color="auto" w:sz="4" w:space="0"/>
              <w:left w:val="nil"/>
              <w:bottom w:val="single" w:color="auto" w:sz="4" w:space="0"/>
              <w:right w:val="single" w:color="auto" w:sz="4" w:space="0"/>
            </w:tcBorders>
            <w:vAlign w:val="center"/>
          </w:tcPr>
          <w:p w14:paraId="570BAFF6">
            <w:pPr>
              <w:rPr>
                <w:color w:val="000000"/>
                <w:sz w:val="28"/>
                <w:szCs w:val="28"/>
              </w:rPr>
            </w:pPr>
            <w:r>
              <w:rPr>
                <w:color w:val="000000"/>
                <w:sz w:val="28"/>
                <w:szCs w:val="28"/>
              </w:rPr>
              <w:t>- Dùng trong xét nghiệm sinh học phân tử</w:t>
            </w:r>
            <w:r>
              <w:rPr>
                <w:color w:val="000000"/>
                <w:sz w:val="28"/>
                <w:szCs w:val="28"/>
              </w:rPr>
              <w:br w:type="textWrapping"/>
            </w:r>
            <w:r>
              <w:rPr>
                <w:color w:val="000000"/>
                <w:sz w:val="28"/>
                <w:szCs w:val="28"/>
              </w:rPr>
              <w:t>- Thành phần: Ethanol ≥ 99,9%</w:t>
            </w:r>
            <w:r>
              <w:rPr>
                <w:color w:val="000000"/>
                <w:sz w:val="28"/>
                <w:szCs w:val="28"/>
              </w:rPr>
              <w:br w:type="textWrapping"/>
            </w:r>
            <w:r>
              <w:rPr>
                <w:color w:val="000000"/>
                <w:sz w:val="28"/>
                <w:szCs w:val="28"/>
              </w:rPr>
              <w:t>- Đóng gói theo tiêu chuẩn nhà sản xuất</w:t>
            </w:r>
            <w:r>
              <w:rPr>
                <w:color w:val="000000"/>
                <w:sz w:val="28"/>
                <w:szCs w:val="28"/>
              </w:rPr>
              <w:br w:type="textWrapping"/>
            </w:r>
            <w:r>
              <w:rPr>
                <w:color w:val="000000"/>
                <w:sz w:val="28"/>
                <w:szCs w:val="28"/>
              </w:rPr>
              <w:t xml:space="preserve">- Xuất xứ: G7 </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C8EC89">
            <w:pPr>
              <w:jc w:val="center"/>
              <w:rPr>
                <w:color w:val="000000"/>
                <w:sz w:val="28"/>
                <w:szCs w:val="28"/>
              </w:rPr>
            </w:pPr>
            <w:r>
              <w:rPr>
                <w:color w:val="000000"/>
                <w:sz w:val="28"/>
                <w:szCs w:val="28"/>
              </w:rPr>
              <w:t xml:space="preserve">lít </w:t>
            </w:r>
          </w:p>
        </w:tc>
        <w:tc>
          <w:tcPr>
            <w:tcW w:w="588" w:type="pct"/>
            <w:tcBorders>
              <w:top w:val="nil"/>
              <w:left w:val="nil"/>
              <w:bottom w:val="single" w:color="auto" w:sz="4" w:space="0"/>
              <w:right w:val="single" w:color="auto" w:sz="4" w:space="0"/>
            </w:tcBorders>
            <w:shd w:val="clear" w:color="auto" w:fill="auto"/>
            <w:noWrap/>
            <w:vAlign w:val="center"/>
          </w:tcPr>
          <w:p w14:paraId="0A9D53AC">
            <w:pPr>
              <w:jc w:val="center"/>
              <w:rPr>
                <w:color w:val="000000"/>
                <w:sz w:val="28"/>
                <w:szCs w:val="28"/>
              </w:rPr>
            </w:pPr>
            <w:r>
              <w:rPr>
                <w:color w:val="000000"/>
                <w:sz w:val="28"/>
                <w:szCs w:val="28"/>
              </w:rPr>
              <w:t xml:space="preserve">13 </w:t>
            </w:r>
          </w:p>
        </w:tc>
      </w:tr>
      <w:tr w14:paraId="51355806">
        <w:tblPrEx>
          <w:tblCellMar>
            <w:top w:w="0" w:type="dxa"/>
            <w:left w:w="108" w:type="dxa"/>
            <w:bottom w:w="0" w:type="dxa"/>
            <w:right w:w="108" w:type="dxa"/>
          </w:tblCellMar>
        </w:tblPrEx>
        <w:trPr>
          <w:trHeight w:val="1634" w:hRule="atLeast"/>
        </w:trPr>
        <w:tc>
          <w:tcPr>
            <w:tcW w:w="429" w:type="pct"/>
            <w:tcBorders>
              <w:top w:val="nil"/>
              <w:left w:val="single" w:color="auto" w:sz="4" w:space="0"/>
              <w:bottom w:val="single" w:color="auto" w:sz="4" w:space="0"/>
              <w:right w:val="single" w:color="auto" w:sz="4" w:space="0"/>
            </w:tcBorders>
            <w:shd w:val="clear" w:color="auto" w:fill="auto"/>
            <w:noWrap/>
            <w:vAlign w:val="center"/>
          </w:tcPr>
          <w:p w14:paraId="7234FD45">
            <w:pPr>
              <w:jc w:val="center"/>
              <w:rPr>
                <w:sz w:val="28"/>
                <w:szCs w:val="28"/>
              </w:rPr>
            </w:pPr>
            <w:r>
              <w:rPr>
                <w:sz w:val="28"/>
                <w:szCs w:val="28"/>
              </w:rPr>
              <w:t>16</w:t>
            </w:r>
          </w:p>
        </w:tc>
        <w:tc>
          <w:tcPr>
            <w:tcW w:w="1069" w:type="pct"/>
            <w:tcBorders>
              <w:top w:val="nil"/>
              <w:left w:val="nil"/>
              <w:bottom w:val="single" w:color="auto" w:sz="4" w:space="0"/>
              <w:right w:val="single" w:color="auto" w:sz="4" w:space="0"/>
            </w:tcBorders>
            <w:shd w:val="clear" w:color="auto" w:fill="auto"/>
            <w:noWrap/>
            <w:vAlign w:val="center"/>
          </w:tcPr>
          <w:p w14:paraId="6CC896E7">
            <w:pPr>
              <w:jc w:val="center"/>
              <w:rPr>
                <w:sz w:val="28"/>
                <w:szCs w:val="28"/>
              </w:rPr>
            </w:pPr>
            <w:r>
              <w:rPr>
                <w:sz w:val="28"/>
                <w:szCs w:val="28"/>
              </w:rPr>
              <w:t>Dung dịch rửa tay phẫu thuật</w:t>
            </w:r>
          </w:p>
        </w:tc>
        <w:tc>
          <w:tcPr>
            <w:tcW w:w="2400" w:type="pct"/>
            <w:tcBorders>
              <w:top w:val="single" w:color="auto" w:sz="4" w:space="0"/>
              <w:left w:val="nil"/>
              <w:bottom w:val="single" w:color="auto" w:sz="4" w:space="0"/>
              <w:right w:val="single" w:color="auto" w:sz="4" w:space="0"/>
            </w:tcBorders>
            <w:vAlign w:val="bottom"/>
          </w:tcPr>
          <w:p w14:paraId="521C6671">
            <w:pPr>
              <w:rPr>
                <w:sz w:val="28"/>
                <w:szCs w:val="28"/>
              </w:rPr>
            </w:pPr>
            <w:r>
              <w:rPr>
                <w:sz w:val="28"/>
                <w:szCs w:val="28"/>
              </w:rPr>
              <w:t>- Dùng để sát khuẩn tay phẫu thuật</w:t>
            </w:r>
            <w:r>
              <w:rPr>
                <w:sz w:val="28"/>
                <w:szCs w:val="28"/>
              </w:rPr>
              <w:br w:type="textWrapping"/>
            </w:r>
            <w:r>
              <w:rPr>
                <w:sz w:val="28"/>
                <w:szCs w:val="28"/>
              </w:rPr>
              <w:t>- Thành phần: tối thiểu Chlorhexidine digluconate 4,0 %</w:t>
            </w:r>
            <w:r>
              <w:rPr>
                <w:sz w:val="28"/>
                <w:szCs w:val="28"/>
              </w:rPr>
              <w:br w:type="textWrapping"/>
            </w:r>
            <w:r>
              <w:rPr>
                <w:sz w:val="28"/>
                <w:szCs w:val="28"/>
              </w:rPr>
              <w:t>- Đóng gói theo tiêu chuẩn nhà sản xuất</w:t>
            </w: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F0DF37">
            <w:pPr>
              <w:jc w:val="center"/>
              <w:rPr>
                <w:sz w:val="28"/>
                <w:szCs w:val="28"/>
              </w:rPr>
            </w:pPr>
            <w:r>
              <w:rPr>
                <w:sz w:val="28"/>
                <w:szCs w:val="28"/>
              </w:rPr>
              <w:t>lít</w:t>
            </w:r>
          </w:p>
        </w:tc>
        <w:tc>
          <w:tcPr>
            <w:tcW w:w="588" w:type="pct"/>
            <w:tcBorders>
              <w:top w:val="nil"/>
              <w:left w:val="nil"/>
              <w:bottom w:val="single" w:color="auto" w:sz="4" w:space="0"/>
              <w:right w:val="single" w:color="auto" w:sz="4" w:space="0"/>
            </w:tcBorders>
            <w:shd w:val="clear" w:color="auto" w:fill="auto"/>
            <w:noWrap/>
            <w:vAlign w:val="center"/>
          </w:tcPr>
          <w:p w14:paraId="62CAF460">
            <w:pPr>
              <w:jc w:val="center"/>
              <w:rPr>
                <w:sz w:val="28"/>
                <w:szCs w:val="28"/>
              </w:rPr>
            </w:pPr>
            <w:r>
              <w:rPr>
                <w:sz w:val="28"/>
                <w:szCs w:val="28"/>
              </w:rPr>
              <w:t xml:space="preserve">600 </w:t>
            </w:r>
          </w:p>
        </w:tc>
      </w:tr>
      <w:tr w14:paraId="24B88333">
        <w:tblPrEx>
          <w:tblCellMar>
            <w:top w:w="0" w:type="dxa"/>
            <w:left w:w="108" w:type="dxa"/>
            <w:bottom w:w="0" w:type="dxa"/>
            <w:right w:w="108" w:type="dxa"/>
          </w:tblCellMar>
        </w:tblPrEx>
        <w:trPr>
          <w:trHeight w:val="399" w:hRule="atLeast"/>
        </w:trPr>
        <w:tc>
          <w:tcPr>
            <w:tcW w:w="149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02AC4F9">
            <w:pPr>
              <w:jc w:val="center"/>
              <w:rPr>
                <w:b/>
                <w:color w:val="0D0D0D" w:themeColor="text1" w:themeTint="F2"/>
                <w:sz w:val="28"/>
                <w:szCs w:val="28"/>
                <w14:textFill>
                  <w14:solidFill>
                    <w14:schemeClr w14:val="tx1">
                      <w14:lumMod w14:val="95000"/>
                      <w14:lumOff w14:val="5000"/>
                    </w14:schemeClr>
                  </w14:solidFill>
                </w14:textFill>
              </w:rPr>
            </w:pPr>
            <w:r>
              <w:rPr>
                <w:b/>
                <w:color w:val="0D0D0D" w:themeColor="text1" w:themeTint="F2"/>
                <w:sz w:val="28"/>
                <w:szCs w:val="28"/>
                <w14:textFill>
                  <w14:solidFill>
                    <w14:schemeClr w14:val="tx1">
                      <w14:lumMod w14:val="95000"/>
                      <w14:lumOff w14:val="5000"/>
                    </w14:schemeClr>
                  </w14:solidFill>
                </w14:textFill>
              </w:rPr>
              <w:t>Tổng: 16 khoản</w:t>
            </w:r>
          </w:p>
        </w:tc>
        <w:tc>
          <w:tcPr>
            <w:tcW w:w="2400" w:type="pct"/>
            <w:tcBorders>
              <w:top w:val="single" w:color="auto" w:sz="4" w:space="0"/>
              <w:left w:val="nil"/>
              <w:bottom w:val="single" w:color="auto" w:sz="4" w:space="0"/>
              <w:right w:val="single" w:color="auto" w:sz="4" w:space="0"/>
            </w:tcBorders>
            <w:vAlign w:val="center"/>
          </w:tcPr>
          <w:p w14:paraId="7B69E62A">
            <w:pPr>
              <w:jc w:val="center"/>
              <w:rPr>
                <w:b/>
                <w:color w:val="0D0D0D" w:themeColor="text1" w:themeTint="F2"/>
                <w:sz w:val="28"/>
                <w:szCs w:val="28"/>
                <w14:textFill>
                  <w14:solidFill>
                    <w14:schemeClr w14:val="tx1">
                      <w14:lumMod w14:val="95000"/>
                      <w14:lumOff w14:val="5000"/>
                    </w14:schemeClr>
                  </w14:solidFill>
                </w14:textFill>
              </w:rPr>
            </w:pPr>
          </w:p>
        </w:tc>
        <w:tc>
          <w:tcPr>
            <w:tcW w:w="51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CE57EE">
            <w:pPr>
              <w:jc w:val="center"/>
              <w:rPr>
                <w:color w:val="0D0D0D" w:themeColor="text1" w:themeTint="F2"/>
                <w:sz w:val="28"/>
                <w:szCs w:val="28"/>
                <w14:textFill>
                  <w14:solidFill>
                    <w14:schemeClr w14:val="tx1">
                      <w14:lumMod w14:val="95000"/>
                      <w14:lumOff w14:val="5000"/>
                    </w14:schemeClr>
                  </w14:solidFill>
                </w14:textFill>
              </w:rPr>
            </w:pPr>
          </w:p>
        </w:tc>
        <w:tc>
          <w:tcPr>
            <w:tcW w:w="588" w:type="pct"/>
            <w:tcBorders>
              <w:top w:val="single" w:color="auto" w:sz="4" w:space="0"/>
              <w:left w:val="nil"/>
              <w:bottom w:val="single" w:color="auto" w:sz="4" w:space="0"/>
              <w:right w:val="single" w:color="auto" w:sz="4" w:space="0"/>
            </w:tcBorders>
            <w:shd w:val="clear" w:color="auto" w:fill="auto"/>
            <w:noWrap/>
            <w:vAlign w:val="center"/>
          </w:tcPr>
          <w:p w14:paraId="14B4B0AA">
            <w:pPr>
              <w:jc w:val="right"/>
              <w:rPr>
                <w:color w:val="0D0D0D" w:themeColor="text1" w:themeTint="F2"/>
                <w:sz w:val="28"/>
                <w:szCs w:val="28"/>
                <w14:textFill>
                  <w14:solidFill>
                    <w14:schemeClr w14:val="tx1">
                      <w14:lumMod w14:val="95000"/>
                      <w14:lumOff w14:val="5000"/>
                    </w14:schemeClr>
                  </w14:solidFill>
                </w14:textFill>
              </w:rPr>
            </w:pPr>
          </w:p>
        </w:tc>
      </w:tr>
      <w:bookmarkEnd w:id="0"/>
    </w:tbl>
    <w:p w14:paraId="53D3F7FD">
      <w:pPr>
        <w:spacing w:before="40" w:after="120" w:line="276" w:lineRule="auto"/>
        <w:jc w:val="center"/>
        <w:rPr>
          <w:b/>
          <w:bCs/>
          <w:sz w:val="28"/>
          <w:szCs w:val="28"/>
        </w:rPr>
      </w:pPr>
    </w:p>
    <w:p w14:paraId="41D0C5D7">
      <w:pPr>
        <w:widowControl w:val="0"/>
        <w:rPr>
          <w:i/>
          <w:iCs/>
          <w:sz w:val="28"/>
          <w:szCs w:val="28"/>
        </w:rPr>
        <w:sectPr>
          <w:footnotePr>
            <w:numStart w:val="2"/>
          </w:footnotePr>
          <w:type w:val="continuous"/>
          <w:pgSz w:w="11900" w:h="16840"/>
          <w:pgMar w:top="1440" w:right="1440" w:bottom="1440" w:left="1440" w:header="0" w:footer="6" w:gutter="0"/>
          <w:cols w:space="720" w:num="1"/>
          <w:docGrid w:linePitch="326" w:charSpace="0"/>
        </w:sectPr>
      </w:pPr>
    </w:p>
    <w:p w14:paraId="2BAB4D08">
      <w:pPr>
        <w:widowControl w:val="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47F60886">
      <w:pPr>
        <w:widowControl w:val="0"/>
        <w:jc w:val="center"/>
        <w:rPr>
          <w:b/>
          <w:bCs/>
          <w:sz w:val="28"/>
          <w:szCs w:val="28"/>
          <w:shd w:val="clear" w:color="auto" w:fill="FFFFFF"/>
          <w:lang w:val="vi-VN" w:eastAsia="vi-VN"/>
        </w:rPr>
      </w:pPr>
      <w:r>
        <w:rPr>
          <w:b/>
          <w:bCs/>
          <w:sz w:val="26"/>
          <w:szCs w:val="26"/>
        </w:rPr>
        <w:t>Gói thầu</w:t>
      </w:r>
      <w:r>
        <w:rPr>
          <w:b/>
          <w:spacing w:val="-4"/>
          <w:sz w:val="28"/>
          <w:szCs w:val="28"/>
          <w:shd w:val="clear" w:color="auto" w:fill="FFFFFF"/>
        </w:rPr>
        <w:t xml:space="preserve"> </w:t>
      </w:r>
      <w:r>
        <w:rPr>
          <w:b/>
          <w:bCs/>
          <w:sz w:val="28"/>
          <w:szCs w:val="28"/>
          <w:shd w:val="clear" w:color="auto" w:fill="FFFFFF"/>
          <w:lang w:eastAsia="vi-VN"/>
        </w:rPr>
        <w:t>Mua sắm hoá chất năm 2026</w:t>
      </w:r>
    </w:p>
    <w:p w14:paraId="61D79994">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22EB5196">
      <w:pPr>
        <w:widowControl w:val="0"/>
        <w:rPr>
          <w:bCs/>
          <w:sz w:val="28"/>
          <w:szCs w:val="28"/>
          <w:shd w:val="clear" w:color="auto" w:fill="FFFFFF"/>
          <w:lang w:val="vi-VN" w:eastAsia="vi-VN"/>
        </w:rPr>
      </w:pPr>
      <w:bookmarkStart w:id="1" w:name="bookmark9"/>
      <w:bookmarkStart w:id="2" w:name="bookmark8"/>
    </w:p>
    <w:p w14:paraId="09A60294">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1"/>
      <w:bookmarkEnd w:id="2"/>
      <w:r>
        <w:rPr>
          <w:bCs/>
          <w:sz w:val="28"/>
          <w:szCs w:val="28"/>
          <w:shd w:val="clear" w:color="auto" w:fill="FFFFFF"/>
          <w:lang w:val="vi-VN" w:eastAsia="vi-VN"/>
        </w:rPr>
        <w:t>]</w:t>
      </w:r>
    </w:p>
    <w:p w14:paraId="0E4B783E">
      <w:pPr>
        <w:widowControl w:val="0"/>
        <w:rPr>
          <w:bCs/>
          <w:sz w:val="28"/>
          <w:szCs w:val="28"/>
          <w:shd w:val="clear" w:color="auto" w:fill="FFFFFF"/>
          <w:lang w:val="vi-VN" w:eastAsia="vi-VN"/>
        </w:rPr>
      </w:pPr>
    </w:p>
    <w:p w14:paraId="3719C4BF">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
          <w:iCs/>
          <w:sz w:val="28"/>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544473D5">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 xml:space="preserve">1. Báo giá cho các </w:t>
      </w:r>
      <w:r>
        <w:rPr>
          <w:sz w:val="28"/>
          <w:szCs w:val="28"/>
          <w:shd w:val="clear" w:color="auto" w:fill="FFFFFF"/>
          <w:lang w:eastAsia="vi-VN"/>
        </w:rPr>
        <w:t>thiết bị y tế và dịch vụ liên quan :</w:t>
      </w:r>
    </w:p>
    <w:tbl>
      <w:tblPr>
        <w:tblStyle w:val="3"/>
        <w:tblW w:w="5773" w:type="pct"/>
        <w:jc w:val="center"/>
        <w:tblLayout w:type="autofit"/>
        <w:tblCellMar>
          <w:top w:w="0" w:type="dxa"/>
          <w:left w:w="0" w:type="dxa"/>
          <w:bottom w:w="0" w:type="dxa"/>
          <w:right w:w="0" w:type="dxa"/>
        </w:tblCellMar>
      </w:tblPr>
      <w:tblGrid>
        <w:gridCol w:w="580"/>
        <w:gridCol w:w="977"/>
        <w:gridCol w:w="714"/>
        <w:gridCol w:w="877"/>
        <w:gridCol w:w="714"/>
        <w:gridCol w:w="772"/>
        <w:gridCol w:w="480"/>
        <w:gridCol w:w="710"/>
        <w:gridCol w:w="845"/>
        <w:gridCol w:w="603"/>
        <w:gridCol w:w="603"/>
        <w:gridCol w:w="864"/>
        <w:gridCol w:w="866"/>
        <w:gridCol w:w="831"/>
      </w:tblGrid>
      <w:tr w14:paraId="7E3E9EA6">
        <w:tblPrEx>
          <w:tblCellMar>
            <w:top w:w="0" w:type="dxa"/>
            <w:left w:w="0" w:type="dxa"/>
            <w:bottom w:w="0" w:type="dxa"/>
            <w:right w:w="0" w:type="dxa"/>
          </w:tblCellMar>
        </w:tblPrEx>
        <w:trPr>
          <w:trHeight w:val="1820" w:hRule="atLeast"/>
          <w:jc w:val="center"/>
        </w:trPr>
        <w:tc>
          <w:tcPr>
            <w:tcW w:w="278" w:type="pct"/>
            <w:tcBorders>
              <w:top w:val="single" w:color="auto" w:sz="4" w:space="0"/>
              <w:left w:val="single" w:color="auto" w:sz="4" w:space="0"/>
              <w:bottom w:val="nil"/>
              <w:right w:val="nil"/>
            </w:tcBorders>
            <w:shd w:val="clear" w:color="auto" w:fill="FFFFFF"/>
            <w:vAlign w:val="center"/>
          </w:tcPr>
          <w:p w14:paraId="330810E3">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468" w:type="pct"/>
            <w:tcBorders>
              <w:top w:val="single" w:color="auto" w:sz="4" w:space="0"/>
              <w:left w:val="single" w:color="auto" w:sz="4" w:space="0"/>
              <w:bottom w:val="nil"/>
              <w:right w:val="single" w:color="auto" w:sz="4" w:space="0"/>
            </w:tcBorders>
            <w:shd w:val="clear" w:color="auto" w:fill="FFFFFF"/>
            <w:vAlign w:val="center"/>
          </w:tcPr>
          <w:p w14:paraId="2E97F36D">
            <w:pPr>
              <w:widowControl w:val="0"/>
              <w:jc w:val="center"/>
              <w:rPr>
                <w:b/>
                <w:bCs/>
                <w:sz w:val="26"/>
                <w:szCs w:val="26"/>
                <w:shd w:val="clear" w:color="auto" w:fill="FFFFFF"/>
                <w:lang w:val="vi-VN" w:eastAsia="vi-VN"/>
              </w:rPr>
            </w:pPr>
            <w:r>
              <w:rPr>
                <w:b/>
                <w:sz w:val="26"/>
                <w:szCs w:val="26"/>
                <w:lang w:val="vi-VN" w:eastAsia="vi-VN"/>
              </w:rPr>
              <w:t>STT theo yêu cầu báo giá</w:t>
            </w:r>
          </w:p>
        </w:tc>
        <w:tc>
          <w:tcPr>
            <w:tcW w:w="342" w:type="pct"/>
            <w:tcBorders>
              <w:top w:val="single" w:color="auto" w:sz="4" w:space="0"/>
              <w:left w:val="single" w:color="auto" w:sz="4" w:space="0"/>
              <w:bottom w:val="nil"/>
              <w:right w:val="nil"/>
            </w:tcBorders>
            <w:shd w:val="clear" w:color="auto" w:fill="FFFFFF"/>
            <w:vAlign w:val="center"/>
          </w:tcPr>
          <w:p w14:paraId="24472293">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Danh mục </w:t>
            </w:r>
            <w:r>
              <w:rPr>
                <w:b/>
                <w:bCs/>
                <w:sz w:val="26"/>
                <w:szCs w:val="26"/>
                <w:shd w:val="clear" w:color="auto" w:fill="FFFFFF"/>
                <w:lang w:eastAsia="vi-VN"/>
              </w:rPr>
              <w:t>hàng hóa</w:t>
            </w:r>
          </w:p>
        </w:tc>
        <w:tc>
          <w:tcPr>
            <w:tcW w:w="420" w:type="pct"/>
            <w:tcBorders>
              <w:top w:val="single" w:color="auto" w:sz="4" w:space="0"/>
              <w:left w:val="single" w:color="auto" w:sz="4" w:space="0"/>
              <w:bottom w:val="nil"/>
              <w:right w:val="nil"/>
            </w:tcBorders>
            <w:shd w:val="clear" w:color="auto" w:fill="FFFFFF"/>
            <w:vAlign w:val="center"/>
          </w:tcPr>
          <w:p w14:paraId="1DF830AB">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42" w:type="pct"/>
            <w:tcBorders>
              <w:top w:val="single" w:color="auto" w:sz="4" w:space="0"/>
              <w:left w:val="single" w:color="auto" w:sz="4" w:space="0"/>
              <w:bottom w:val="nil"/>
              <w:right w:val="single" w:color="auto" w:sz="4" w:space="0"/>
            </w:tcBorders>
            <w:shd w:val="clear" w:color="auto" w:fill="FFFFFF"/>
            <w:vAlign w:val="center"/>
          </w:tcPr>
          <w:p w14:paraId="6A742741">
            <w:pPr>
              <w:widowControl w:val="0"/>
              <w:jc w:val="center"/>
              <w:rPr>
                <w:b/>
                <w:bCs/>
                <w:sz w:val="26"/>
                <w:szCs w:val="26"/>
                <w:shd w:val="clear" w:color="auto" w:fill="FFFFFF"/>
                <w:lang w:eastAsia="vi-VN"/>
              </w:rPr>
            </w:pPr>
          </w:p>
          <w:p w14:paraId="462D6E27">
            <w:pPr>
              <w:widowControl w:val="0"/>
              <w:jc w:val="center"/>
              <w:rPr>
                <w:b/>
                <w:bCs/>
                <w:sz w:val="26"/>
                <w:szCs w:val="26"/>
                <w:shd w:val="clear" w:color="auto" w:fill="FFFFFF"/>
                <w:lang w:eastAsia="vi-VN"/>
              </w:rPr>
            </w:pPr>
          </w:p>
          <w:p w14:paraId="637242E9">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70" w:type="pct"/>
            <w:tcBorders>
              <w:top w:val="single" w:color="auto" w:sz="4" w:space="0"/>
              <w:left w:val="single" w:color="auto" w:sz="4" w:space="0"/>
              <w:bottom w:val="nil"/>
              <w:right w:val="single" w:color="auto" w:sz="4" w:space="0"/>
            </w:tcBorders>
            <w:shd w:val="clear" w:color="auto" w:fill="FFFFFF"/>
            <w:vAlign w:val="center"/>
          </w:tcPr>
          <w:p w14:paraId="4213CD5F">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30" w:type="pct"/>
            <w:tcBorders>
              <w:top w:val="single" w:color="auto" w:sz="4" w:space="0"/>
              <w:left w:val="single" w:color="auto" w:sz="4" w:space="0"/>
              <w:bottom w:val="nil"/>
              <w:right w:val="nil"/>
            </w:tcBorders>
            <w:shd w:val="clear" w:color="auto" w:fill="FFFFFF"/>
            <w:vAlign w:val="center"/>
          </w:tcPr>
          <w:p w14:paraId="5447939E">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p>
        </w:tc>
        <w:tc>
          <w:tcPr>
            <w:tcW w:w="340" w:type="pct"/>
            <w:tcBorders>
              <w:top w:val="single" w:color="auto" w:sz="4" w:space="0"/>
              <w:left w:val="single" w:color="auto" w:sz="4" w:space="0"/>
              <w:bottom w:val="nil"/>
              <w:right w:val="nil"/>
            </w:tcBorders>
            <w:shd w:val="clear" w:color="auto" w:fill="FFFFFF"/>
            <w:vAlign w:val="center"/>
          </w:tcPr>
          <w:p w14:paraId="265162D6">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05" w:type="pct"/>
            <w:tcBorders>
              <w:top w:val="single" w:color="auto" w:sz="4" w:space="0"/>
              <w:left w:val="single" w:color="auto" w:sz="4" w:space="0"/>
              <w:bottom w:val="nil"/>
              <w:right w:val="single" w:color="auto" w:sz="4" w:space="0"/>
            </w:tcBorders>
            <w:shd w:val="clear" w:color="auto" w:fill="FFFFFF"/>
            <w:vAlign w:val="center"/>
          </w:tcPr>
          <w:p w14:paraId="06C042F4">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289" w:type="pct"/>
            <w:tcBorders>
              <w:top w:val="single" w:color="auto" w:sz="4" w:space="0"/>
              <w:left w:val="single" w:color="auto" w:sz="4" w:space="0"/>
              <w:bottom w:val="nil"/>
              <w:right w:val="single" w:color="auto" w:sz="4" w:space="0"/>
            </w:tcBorders>
            <w:shd w:val="clear" w:color="auto" w:fill="FFFFFF"/>
            <w:vAlign w:val="center"/>
          </w:tcPr>
          <w:p w14:paraId="7BB443E4">
            <w:pPr>
              <w:widowControl w:val="0"/>
              <w:jc w:val="center"/>
              <w:rPr>
                <w:b/>
                <w:bCs/>
                <w:sz w:val="26"/>
                <w:szCs w:val="26"/>
                <w:shd w:val="clear" w:color="auto" w:fill="FFFFFF"/>
                <w:lang w:eastAsia="vi-VN"/>
              </w:rPr>
            </w:pPr>
            <w:r>
              <w:rPr>
                <w:b/>
                <w:bCs/>
                <w:sz w:val="26"/>
                <w:szCs w:val="26"/>
                <w:shd w:val="clear" w:color="auto" w:fill="FFFFFF"/>
                <w:lang w:eastAsia="vi-VN"/>
              </w:rPr>
              <w:t>Quy cách</w:t>
            </w:r>
          </w:p>
        </w:tc>
        <w:tc>
          <w:tcPr>
            <w:tcW w:w="289" w:type="pct"/>
            <w:tcBorders>
              <w:top w:val="single" w:color="auto" w:sz="4" w:space="0"/>
              <w:left w:val="single" w:color="auto" w:sz="4" w:space="0"/>
              <w:bottom w:val="nil"/>
              <w:right w:val="nil"/>
            </w:tcBorders>
            <w:shd w:val="clear" w:color="auto" w:fill="FFFFFF"/>
            <w:vAlign w:val="center"/>
          </w:tcPr>
          <w:p w14:paraId="2C996FC1">
            <w:pPr>
              <w:widowControl w:val="0"/>
              <w:jc w:val="center"/>
              <w:rPr>
                <w:b/>
                <w:bCs/>
                <w:sz w:val="26"/>
                <w:szCs w:val="26"/>
                <w:shd w:val="clear" w:color="auto" w:fill="FFFFFF"/>
                <w:lang w:val="vi-VN" w:eastAsia="vi-VN"/>
              </w:rPr>
            </w:pPr>
            <w:r>
              <w:rPr>
                <w:b/>
                <w:bCs/>
                <w:sz w:val="26"/>
                <w:szCs w:val="26"/>
                <w:shd w:val="clear" w:color="auto" w:fill="FFFFFF"/>
                <w:lang w:eastAsia="vi-VN"/>
              </w:rPr>
              <w:t>Đơn vị tính</w:t>
            </w:r>
          </w:p>
        </w:tc>
        <w:tc>
          <w:tcPr>
            <w:tcW w:w="414" w:type="pct"/>
            <w:tcBorders>
              <w:top w:val="single" w:color="auto" w:sz="4" w:space="0"/>
              <w:left w:val="single" w:color="auto" w:sz="4" w:space="0"/>
              <w:bottom w:val="nil"/>
              <w:right w:val="nil"/>
            </w:tcBorders>
            <w:shd w:val="clear" w:color="auto" w:fill="FFFFFF"/>
            <w:vAlign w:val="center"/>
          </w:tcPr>
          <w:p w14:paraId="029FC663">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vertAlign w:val="superscript"/>
                <w:lang w:val="vi-VN" w:eastAsia="vi-VN"/>
              </w:rPr>
              <w:t xml:space="preserve"> </w:t>
            </w:r>
            <w:r>
              <w:rPr>
                <w:b/>
                <w:bCs/>
                <w:sz w:val="26"/>
                <w:szCs w:val="26"/>
                <w:shd w:val="clear" w:color="auto" w:fill="FFFFFF"/>
                <w:lang w:val="vi-VN" w:eastAsia="vi-VN"/>
              </w:rPr>
              <w:t>(VND)</w:t>
            </w:r>
          </w:p>
        </w:tc>
        <w:tc>
          <w:tcPr>
            <w:tcW w:w="415" w:type="pct"/>
            <w:tcBorders>
              <w:top w:val="single" w:color="auto" w:sz="4" w:space="0"/>
              <w:left w:val="single" w:color="auto" w:sz="4" w:space="0"/>
              <w:bottom w:val="nil"/>
              <w:right w:val="single" w:color="auto" w:sz="4" w:space="0"/>
            </w:tcBorders>
            <w:shd w:val="clear" w:color="auto" w:fill="FFFFFF"/>
            <w:vAlign w:val="center"/>
          </w:tcPr>
          <w:p w14:paraId="639EEBA8">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51EBC152">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c>
          <w:tcPr>
            <w:tcW w:w="398" w:type="pct"/>
            <w:tcBorders>
              <w:top w:val="single" w:color="auto" w:sz="4" w:space="0"/>
              <w:left w:val="single" w:color="auto" w:sz="4" w:space="0"/>
              <w:bottom w:val="nil"/>
              <w:right w:val="single" w:color="auto" w:sz="4" w:space="0"/>
            </w:tcBorders>
            <w:shd w:val="clear" w:color="auto" w:fill="FFFFFF"/>
          </w:tcPr>
          <w:p w14:paraId="011E8045">
            <w:pPr>
              <w:widowControl w:val="0"/>
              <w:jc w:val="center"/>
              <w:rPr>
                <w:b/>
                <w:bCs/>
                <w:sz w:val="26"/>
                <w:szCs w:val="26"/>
                <w:shd w:val="clear" w:color="auto" w:fill="FFFFFF"/>
                <w:lang w:eastAsia="vi-VN"/>
              </w:rPr>
            </w:pPr>
          </w:p>
          <w:p w14:paraId="37424FA0">
            <w:pPr>
              <w:widowControl w:val="0"/>
              <w:jc w:val="center"/>
              <w:rPr>
                <w:b/>
                <w:bCs/>
                <w:sz w:val="26"/>
                <w:szCs w:val="26"/>
                <w:shd w:val="clear" w:color="auto" w:fill="FFFFFF"/>
                <w:lang w:eastAsia="vi-VN"/>
              </w:rPr>
            </w:pPr>
          </w:p>
          <w:p w14:paraId="4D407B04">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56479E7A">
            <w:pPr>
              <w:widowControl w:val="0"/>
              <w:jc w:val="center"/>
              <w:rPr>
                <w:b/>
                <w:bCs/>
                <w:sz w:val="26"/>
                <w:szCs w:val="26"/>
                <w:shd w:val="clear" w:color="auto" w:fill="FFFFFF"/>
                <w:lang w:eastAsia="vi-VN"/>
              </w:rPr>
            </w:pPr>
            <w:r>
              <w:rPr>
                <w:b/>
                <w:bCs/>
                <w:sz w:val="26"/>
                <w:szCs w:val="26"/>
                <w:shd w:val="clear" w:color="auto" w:fill="FFFFFF"/>
                <w:lang w:eastAsia="vi-VN"/>
              </w:rPr>
              <w:t>(%)</w:t>
            </w:r>
          </w:p>
        </w:tc>
      </w:tr>
      <w:tr w14:paraId="03B55E1F">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7CEB06EC">
            <w:pPr>
              <w:widowControl w:val="0"/>
              <w:rPr>
                <w:bCs/>
                <w:sz w:val="26"/>
                <w:szCs w:val="26"/>
                <w:shd w:val="clear" w:color="auto" w:fill="FFFFFF"/>
                <w:lang w:val="vi-VN" w:eastAsia="vi-VN"/>
              </w:rPr>
            </w:pPr>
            <w:r>
              <w:rPr>
                <w:bCs/>
                <w:sz w:val="26"/>
                <w:szCs w:val="26"/>
                <w:shd w:val="clear" w:color="auto" w:fill="FFFFFF"/>
                <w:lang w:val="vi-VN" w:eastAsia="vi-VN"/>
              </w:rPr>
              <w:t>1</w:t>
            </w:r>
          </w:p>
        </w:tc>
        <w:tc>
          <w:tcPr>
            <w:tcW w:w="468" w:type="pct"/>
            <w:tcBorders>
              <w:top w:val="single" w:color="auto" w:sz="4" w:space="0"/>
              <w:left w:val="single" w:color="auto" w:sz="4" w:space="0"/>
              <w:bottom w:val="nil"/>
              <w:right w:val="single" w:color="auto" w:sz="4" w:space="0"/>
            </w:tcBorders>
            <w:shd w:val="clear" w:color="auto" w:fill="FFFFFF"/>
          </w:tcPr>
          <w:p w14:paraId="5B5C15D9">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4AF3147D">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20" w:type="pct"/>
            <w:tcBorders>
              <w:top w:val="single" w:color="auto" w:sz="4" w:space="0"/>
              <w:left w:val="single" w:color="auto" w:sz="4" w:space="0"/>
              <w:bottom w:val="nil"/>
              <w:right w:val="nil"/>
            </w:tcBorders>
            <w:shd w:val="clear" w:color="auto" w:fill="FFFFFF"/>
          </w:tcPr>
          <w:p w14:paraId="536F7E89">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520AA17E">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793E8E71">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6C9BBEDB">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28552B1F">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1E66D86D">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2628EC57">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2CE2D746">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12962A1A">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5B708D2F">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7D5D90F3">
            <w:pPr>
              <w:widowControl w:val="0"/>
              <w:rPr>
                <w:bCs/>
                <w:sz w:val="28"/>
                <w:szCs w:val="28"/>
                <w:shd w:val="clear" w:color="auto" w:fill="FFFFFF"/>
                <w:lang w:val="vi-VN" w:eastAsia="vi-VN"/>
              </w:rPr>
            </w:pPr>
          </w:p>
        </w:tc>
      </w:tr>
      <w:tr w14:paraId="1A6C834A">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2EECD74B">
            <w:pPr>
              <w:widowControl w:val="0"/>
              <w:rPr>
                <w:bCs/>
                <w:sz w:val="26"/>
                <w:szCs w:val="26"/>
                <w:shd w:val="clear" w:color="auto" w:fill="FFFFFF"/>
                <w:lang w:val="vi-VN" w:eastAsia="vi-VN"/>
              </w:rPr>
            </w:pPr>
            <w:r>
              <w:rPr>
                <w:bCs/>
                <w:sz w:val="26"/>
                <w:szCs w:val="26"/>
                <w:shd w:val="clear" w:color="auto" w:fill="FFFFFF"/>
                <w:lang w:val="vi-VN" w:eastAsia="vi-VN"/>
              </w:rPr>
              <w:t>2</w:t>
            </w:r>
          </w:p>
        </w:tc>
        <w:tc>
          <w:tcPr>
            <w:tcW w:w="468" w:type="pct"/>
            <w:tcBorders>
              <w:top w:val="single" w:color="auto" w:sz="4" w:space="0"/>
              <w:left w:val="single" w:color="auto" w:sz="4" w:space="0"/>
              <w:bottom w:val="nil"/>
              <w:right w:val="single" w:color="auto" w:sz="4" w:space="0"/>
            </w:tcBorders>
            <w:shd w:val="clear" w:color="auto" w:fill="FFFFFF"/>
          </w:tcPr>
          <w:p w14:paraId="60E8B75F">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3BA6C61C">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20" w:type="pct"/>
            <w:tcBorders>
              <w:top w:val="single" w:color="auto" w:sz="4" w:space="0"/>
              <w:left w:val="single" w:color="auto" w:sz="4" w:space="0"/>
              <w:bottom w:val="nil"/>
              <w:right w:val="nil"/>
            </w:tcBorders>
            <w:shd w:val="clear" w:color="auto" w:fill="FFFFFF"/>
          </w:tcPr>
          <w:p w14:paraId="26CF0522">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584B9F51">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493DE46A">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5C30AA22">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2D0ECD5F">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010C68BA">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7FB2F092">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1818CB98">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05E11964">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448A9E8B">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21E40179">
            <w:pPr>
              <w:widowControl w:val="0"/>
              <w:rPr>
                <w:bCs/>
                <w:sz w:val="28"/>
                <w:szCs w:val="28"/>
                <w:shd w:val="clear" w:color="auto" w:fill="FFFFFF"/>
                <w:lang w:val="vi-VN" w:eastAsia="vi-VN"/>
              </w:rPr>
            </w:pPr>
          </w:p>
        </w:tc>
      </w:tr>
      <w:tr w14:paraId="2D80A564">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single" w:color="auto" w:sz="4" w:space="0"/>
              <w:right w:val="nil"/>
            </w:tcBorders>
            <w:shd w:val="clear" w:color="auto" w:fill="FFFFFF"/>
            <w:vAlign w:val="center"/>
          </w:tcPr>
          <w:p w14:paraId="48EA973C">
            <w:pPr>
              <w:widowControl w:val="0"/>
              <w:rPr>
                <w:bCs/>
                <w:sz w:val="26"/>
                <w:szCs w:val="26"/>
                <w:shd w:val="clear" w:color="auto" w:fill="FFFFFF"/>
                <w:lang w:val="vi-VN" w:eastAsia="vi-VN"/>
              </w:rPr>
            </w:pPr>
            <w:r>
              <w:rPr>
                <w:bCs/>
                <w:sz w:val="26"/>
                <w:szCs w:val="26"/>
                <w:shd w:val="clear" w:color="auto" w:fill="FFFFFF"/>
                <w:lang w:val="vi-VN" w:eastAsia="vi-VN"/>
              </w:rPr>
              <w:t>n</w:t>
            </w:r>
          </w:p>
        </w:tc>
        <w:tc>
          <w:tcPr>
            <w:tcW w:w="468" w:type="pct"/>
            <w:tcBorders>
              <w:top w:val="single" w:color="auto" w:sz="4" w:space="0"/>
              <w:left w:val="single" w:color="auto" w:sz="4" w:space="0"/>
              <w:bottom w:val="single" w:color="auto" w:sz="4" w:space="0"/>
              <w:right w:val="single" w:color="auto" w:sz="4" w:space="0"/>
            </w:tcBorders>
            <w:shd w:val="clear" w:color="auto" w:fill="FFFFFF"/>
          </w:tcPr>
          <w:p w14:paraId="0F57408B">
            <w:pPr>
              <w:widowControl w:val="0"/>
              <w:rPr>
                <w:bCs/>
                <w:sz w:val="26"/>
                <w:szCs w:val="26"/>
                <w:shd w:val="clear" w:color="auto" w:fill="FFFFFF"/>
                <w:lang w:eastAsia="vi-VN"/>
              </w:rPr>
            </w:pPr>
          </w:p>
        </w:tc>
        <w:tc>
          <w:tcPr>
            <w:tcW w:w="342" w:type="pct"/>
            <w:tcBorders>
              <w:top w:val="single" w:color="auto" w:sz="4" w:space="0"/>
              <w:left w:val="single" w:color="auto" w:sz="4" w:space="0"/>
              <w:bottom w:val="single" w:color="auto" w:sz="4" w:space="0"/>
              <w:right w:val="nil"/>
            </w:tcBorders>
            <w:shd w:val="clear" w:color="auto" w:fill="FFFFFF"/>
          </w:tcPr>
          <w:p w14:paraId="2BF3C271">
            <w:pPr>
              <w:widowControl w:val="0"/>
              <w:rPr>
                <w:bCs/>
                <w:sz w:val="26"/>
                <w:szCs w:val="26"/>
                <w:shd w:val="clear" w:color="auto" w:fill="FFFFFF"/>
                <w:lang w:eastAsia="vi-VN"/>
              </w:rPr>
            </w:pPr>
            <w:r>
              <w:rPr>
                <w:bCs/>
                <w:sz w:val="26"/>
                <w:szCs w:val="26"/>
                <w:shd w:val="clear" w:color="auto" w:fill="FFFFFF"/>
                <w:lang w:eastAsia="vi-VN"/>
              </w:rPr>
              <w:t>…</w:t>
            </w:r>
          </w:p>
        </w:tc>
        <w:tc>
          <w:tcPr>
            <w:tcW w:w="420" w:type="pct"/>
            <w:tcBorders>
              <w:top w:val="single" w:color="auto" w:sz="4" w:space="0"/>
              <w:left w:val="single" w:color="auto" w:sz="4" w:space="0"/>
              <w:bottom w:val="single" w:color="auto" w:sz="4" w:space="0"/>
              <w:right w:val="nil"/>
            </w:tcBorders>
            <w:shd w:val="clear" w:color="auto" w:fill="FFFFFF"/>
          </w:tcPr>
          <w:p w14:paraId="54B7AC42">
            <w:pPr>
              <w:widowControl w:val="0"/>
              <w:rPr>
                <w:bCs/>
                <w:sz w:val="28"/>
                <w:szCs w:val="28"/>
                <w:shd w:val="clear" w:color="auto" w:fill="FFFFFF"/>
                <w:lang w:val="vi-VN" w:eastAsia="vi-VN"/>
              </w:rPr>
            </w:pPr>
          </w:p>
        </w:tc>
        <w:tc>
          <w:tcPr>
            <w:tcW w:w="342" w:type="pct"/>
            <w:tcBorders>
              <w:top w:val="single" w:color="auto" w:sz="4" w:space="0"/>
              <w:left w:val="single" w:color="auto" w:sz="4" w:space="0"/>
              <w:bottom w:val="single" w:color="auto" w:sz="4" w:space="0"/>
              <w:right w:val="single" w:color="auto" w:sz="4" w:space="0"/>
            </w:tcBorders>
            <w:shd w:val="clear" w:color="auto" w:fill="FFFFFF"/>
          </w:tcPr>
          <w:p w14:paraId="76EF8CE0">
            <w:pPr>
              <w:widowControl w:val="0"/>
              <w:rPr>
                <w:bCs/>
                <w:sz w:val="28"/>
                <w:szCs w:val="28"/>
                <w:shd w:val="clear" w:color="auto" w:fill="FFFFFF"/>
                <w:lang w:val="vi-VN" w:eastAsia="vi-VN"/>
              </w:rPr>
            </w:pPr>
          </w:p>
        </w:tc>
        <w:tc>
          <w:tcPr>
            <w:tcW w:w="370" w:type="pct"/>
            <w:tcBorders>
              <w:top w:val="single" w:color="auto" w:sz="4" w:space="0"/>
              <w:left w:val="single" w:color="auto" w:sz="4" w:space="0"/>
              <w:bottom w:val="single" w:color="auto" w:sz="4" w:space="0"/>
              <w:right w:val="single" w:color="auto" w:sz="4" w:space="0"/>
            </w:tcBorders>
            <w:shd w:val="clear" w:color="auto" w:fill="FFFFFF"/>
          </w:tcPr>
          <w:p w14:paraId="203917AC">
            <w:pPr>
              <w:widowControl w:val="0"/>
              <w:rPr>
                <w:bCs/>
                <w:sz w:val="28"/>
                <w:szCs w:val="28"/>
                <w:shd w:val="clear" w:color="auto" w:fill="FFFFFF"/>
                <w:lang w:val="vi-VN" w:eastAsia="vi-VN"/>
              </w:rPr>
            </w:pPr>
          </w:p>
        </w:tc>
        <w:tc>
          <w:tcPr>
            <w:tcW w:w="230" w:type="pct"/>
            <w:tcBorders>
              <w:top w:val="single" w:color="auto" w:sz="4" w:space="0"/>
              <w:left w:val="single" w:color="auto" w:sz="4" w:space="0"/>
              <w:bottom w:val="single" w:color="auto" w:sz="4" w:space="0"/>
              <w:right w:val="nil"/>
            </w:tcBorders>
            <w:shd w:val="clear" w:color="auto" w:fill="FFFFFF"/>
          </w:tcPr>
          <w:p w14:paraId="112FEC1B">
            <w:pPr>
              <w:widowControl w:val="0"/>
              <w:rPr>
                <w:bCs/>
                <w:sz w:val="28"/>
                <w:szCs w:val="28"/>
                <w:shd w:val="clear" w:color="auto" w:fill="FFFFFF"/>
                <w:lang w:val="vi-VN" w:eastAsia="vi-VN"/>
              </w:rPr>
            </w:pPr>
          </w:p>
        </w:tc>
        <w:tc>
          <w:tcPr>
            <w:tcW w:w="340" w:type="pct"/>
            <w:tcBorders>
              <w:top w:val="single" w:color="auto" w:sz="4" w:space="0"/>
              <w:left w:val="single" w:color="auto" w:sz="4" w:space="0"/>
              <w:bottom w:val="single" w:color="auto" w:sz="4" w:space="0"/>
              <w:right w:val="nil"/>
            </w:tcBorders>
            <w:shd w:val="clear" w:color="auto" w:fill="FFFFFF"/>
          </w:tcPr>
          <w:p w14:paraId="5E8014D7">
            <w:pPr>
              <w:widowControl w:val="0"/>
              <w:rPr>
                <w:bCs/>
                <w:sz w:val="28"/>
                <w:szCs w:val="28"/>
                <w:shd w:val="clear" w:color="auto" w:fill="FFFFFF"/>
                <w:lang w:val="vi-VN" w:eastAsia="vi-VN"/>
              </w:rPr>
            </w:pPr>
          </w:p>
        </w:tc>
        <w:tc>
          <w:tcPr>
            <w:tcW w:w="405" w:type="pct"/>
            <w:tcBorders>
              <w:top w:val="single" w:color="auto" w:sz="4" w:space="0"/>
              <w:left w:val="single" w:color="auto" w:sz="4" w:space="0"/>
              <w:bottom w:val="single" w:color="auto" w:sz="4" w:space="0"/>
              <w:right w:val="single" w:color="auto" w:sz="4" w:space="0"/>
            </w:tcBorders>
            <w:shd w:val="clear" w:color="auto" w:fill="FFFFFF"/>
          </w:tcPr>
          <w:p w14:paraId="50E182B6">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single" w:color="auto" w:sz="4" w:space="0"/>
            </w:tcBorders>
            <w:shd w:val="clear" w:color="auto" w:fill="FFFFFF"/>
          </w:tcPr>
          <w:p w14:paraId="4A458469">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nil"/>
            </w:tcBorders>
            <w:shd w:val="clear" w:color="auto" w:fill="FFFFFF"/>
          </w:tcPr>
          <w:p w14:paraId="19156C30">
            <w:pPr>
              <w:widowControl w:val="0"/>
              <w:rPr>
                <w:bCs/>
                <w:sz w:val="28"/>
                <w:szCs w:val="28"/>
                <w:shd w:val="clear" w:color="auto" w:fill="FFFFFF"/>
                <w:lang w:val="vi-VN" w:eastAsia="vi-VN"/>
              </w:rPr>
            </w:pPr>
          </w:p>
        </w:tc>
        <w:tc>
          <w:tcPr>
            <w:tcW w:w="414" w:type="pct"/>
            <w:tcBorders>
              <w:top w:val="single" w:color="auto" w:sz="4" w:space="0"/>
              <w:left w:val="single" w:color="auto" w:sz="4" w:space="0"/>
              <w:bottom w:val="single" w:color="auto" w:sz="4" w:space="0"/>
              <w:right w:val="nil"/>
            </w:tcBorders>
            <w:shd w:val="clear" w:color="auto" w:fill="FFFFFF"/>
          </w:tcPr>
          <w:p w14:paraId="612CFBCE">
            <w:pPr>
              <w:widowControl w:val="0"/>
              <w:rPr>
                <w:bCs/>
                <w:sz w:val="28"/>
                <w:szCs w:val="28"/>
                <w:shd w:val="clear" w:color="auto" w:fill="FFFFFF"/>
                <w:lang w:val="vi-VN" w:eastAsia="vi-VN"/>
              </w:rPr>
            </w:pPr>
          </w:p>
        </w:tc>
        <w:tc>
          <w:tcPr>
            <w:tcW w:w="415" w:type="pct"/>
            <w:tcBorders>
              <w:top w:val="single" w:color="auto" w:sz="4" w:space="0"/>
              <w:left w:val="single" w:color="auto" w:sz="4" w:space="0"/>
              <w:bottom w:val="single" w:color="auto" w:sz="4" w:space="0"/>
              <w:right w:val="single" w:color="auto" w:sz="4" w:space="0"/>
            </w:tcBorders>
            <w:shd w:val="clear" w:color="auto" w:fill="FFFFFF"/>
          </w:tcPr>
          <w:p w14:paraId="4CAD704D">
            <w:pPr>
              <w:widowControl w:val="0"/>
              <w:rPr>
                <w:bCs/>
                <w:sz w:val="28"/>
                <w:szCs w:val="28"/>
                <w:shd w:val="clear" w:color="auto" w:fill="FFFFFF"/>
                <w:lang w:val="vi-VN" w:eastAsia="vi-VN"/>
              </w:rPr>
            </w:pPr>
          </w:p>
        </w:tc>
        <w:tc>
          <w:tcPr>
            <w:tcW w:w="398" w:type="pct"/>
            <w:tcBorders>
              <w:top w:val="single" w:color="auto" w:sz="4" w:space="0"/>
              <w:left w:val="single" w:color="auto" w:sz="4" w:space="0"/>
              <w:bottom w:val="single" w:color="auto" w:sz="4" w:space="0"/>
              <w:right w:val="single" w:color="auto" w:sz="4" w:space="0"/>
            </w:tcBorders>
            <w:shd w:val="clear" w:color="auto" w:fill="FFFFFF"/>
          </w:tcPr>
          <w:p w14:paraId="50976B02">
            <w:pPr>
              <w:widowControl w:val="0"/>
              <w:rPr>
                <w:bCs/>
                <w:sz w:val="28"/>
                <w:szCs w:val="28"/>
                <w:shd w:val="clear" w:color="auto" w:fill="FFFFFF"/>
                <w:lang w:val="vi-VN" w:eastAsia="vi-VN"/>
              </w:rPr>
            </w:pPr>
          </w:p>
        </w:tc>
      </w:tr>
    </w:tbl>
    <w:p w14:paraId="3A078208">
      <w:pPr>
        <w:widowControl w:val="0"/>
        <w:spacing w:before="120" w:line="312" w:lineRule="auto"/>
        <w:ind w:firstLine="720"/>
        <w:jc w:val="both"/>
        <w:rPr>
          <w:bCs/>
          <w:i/>
          <w:iCs/>
          <w:sz w:val="28"/>
          <w:szCs w:val="28"/>
          <w:shd w:val="clear" w:color="auto" w:fill="FFFFFF"/>
          <w:lang w:eastAsia="vi-VN"/>
        </w:rPr>
      </w:pPr>
      <w:r>
        <w:rPr>
          <w:bCs/>
          <w:i/>
          <w:iCs/>
          <w:sz w:val="28"/>
          <w:szCs w:val="28"/>
          <w:shd w:val="clear" w:color="auto" w:fill="FFFFFF"/>
          <w:lang w:eastAsia="vi-VN"/>
        </w:rPr>
        <w:t>Hãng sản xuất, nhà cung cấp: Gửi kèm theo các tài liệu chứng minh về tính năng, thông số kỹ thuật, hợp đồng tương tự hoặc các tài liệu liên quan của thiết bị y tế (nếu có)</w:t>
      </w:r>
    </w:p>
    <w:p w14:paraId="60183E8E">
      <w:pPr>
        <w:widowControl w:val="0"/>
        <w:spacing w:line="312" w:lineRule="auto"/>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70058756">
      <w:pPr>
        <w:widowControl w:val="0"/>
        <w:spacing w:line="312" w:lineRule="auto"/>
        <w:ind w:firstLine="720"/>
        <w:jc w:val="both"/>
        <w:rPr>
          <w:rFonts w:eastAsia="Calibri"/>
          <w:sz w:val="28"/>
          <w:szCs w:val="28"/>
        </w:rPr>
      </w:pPr>
      <w:r>
        <w:rPr>
          <w:rFonts w:eastAsia="Calibri"/>
          <w:sz w:val="28"/>
          <w:szCs w:val="28"/>
        </w:rPr>
        <w:t>3. Hàng hóa mới 100%, bàn giao tại đơn vị sử dụng. Bảo hành theo tiêu chuẩn nhà sản xuất …. Tháng (nếu có).</w:t>
      </w:r>
    </w:p>
    <w:p w14:paraId="578072A0">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4. Báo giá này có hiệu lực trong vòng: 90 ngày, kể từ ngày 9/10/2026.</w:t>
      </w:r>
    </w:p>
    <w:p w14:paraId="4A886B28">
      <w:pPr>
        <w:widowControl w:val="0"/>
        <w:spacing w:line="312" w:lineRule="auto"/>
        <w:ind w:firstLine="720"/>
        <w:jc w:val="both"/>
        <w:rPr>
          <w:bCs/>
          <w:i/>
          <w:iCs/>
          <w:sz w:val="28"/>
          <w:szCs w:val="28"/>
          <w:shd w:val="clear" w:color="auto" w:fill="FFFFFF"/>
          <w:lang w:eastAsia="vi-VN"/>
        </w:rPr>
      </w:pPr>
      <w:r>
        <w:rPr>
          <w:bCs/>
          <w:sz w:val="28"/>
          <w:szCs w:val="28"/>
          <w:shd w:val="clear" w:color="auto" w:fill="FFFFFF"/>
          <w:lang w:eastAsia="vi-VN"/>
        </w:rPr>
        <w:t>5. Chúng tôi cam kết:</w:t>
      </w:r>
    </w:p>
    <w:p w14:paraId="334FAB3A">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366D2078">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5E1059B8">
      <w:pPr>
        <w:widowControl w:val="0"/>
        <w:spacing w:line="276" w:lineRule="auto"/>
        <w:ind w:firstLine="720"/>
        <w:jc w:val="both"/>
        <w:rPr>
          <w:bCs/>
          <w:sz w:val="28"/>
          <w:szCs w:val="28"/>
          <w:shd w:val="clear" w:color="auto" w:fill="FFFFFF"/>
          <w:lang w:eastAsia="vi-VN"/>
        </w:rPr>
      </w:pPr>
    </w:p>
    <w:p w14:paraId="46A56869">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3572FF80">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06A83D87">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drawingGridHorizontalSpacing w:val="110"/>
  <w:displayHorizontalDrawingGridEvery w:val="2"/>
  <w:displayVerticalDrawingGridEvery w:val="2"/>
  <w:characterSpacingControl w:val="doNotCompress"/>
  <w:footnotePr>
    <w:numStart w:val="2"/>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EC5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uiPriority w:val="99"/>
    <w:rPr>
      <w:rFonts w:ascii="Segoe UI" w:hAnsi="Segoe UI" w:cs="Segoe UI" w:eastAsiaTheme="minorHAnsi"/>
      <w:sz w:val="18"/>
      <w:szCs w:val="18"/>
    </w:rPr>
  </w:style>
  <w:style w:type="character" w:styleId="5">
    <w:name w:val="annotation reference"/>
    <w:basedOn w:val="2"/>
    <w:unhideWhenUsed/>
    <w:qFormat/>
    <w:uiPriority w:val="0"/>
    <w:rPr>
      <w:sz w:val="16"/>
      <w:szCs w:val="16"/>
    </w:rPr>
  </w:style>
  <w:style w:type="paragraph" w:styleId="6">
    <w:name w:val="annotation text"/>
    <w:basedOn w:val="1"/>
    <w:link w:val="18"/>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19"/>
    <w:unhideWhenUsed/>
    <w:uiPriority w:val="0"/>
    <w:rPr>
      <w:b/>
      <w:bCs/>
    </w:rPr>
  </w:style>
  <w:style w:type="paragraph" w:styleId="8">
    <w:name w:val="footer"/>
    <w:basedOn w:val="1"/>
    <w:link w:val="17"/>
    <w:unhideWhenUsed/>
    <w:uiPriority w:val="99"/>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6"/>
    <w:unhideWhenUsed/>
    <w:qFormat/>
    <w:uiPriority w:val="99"/>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qFormat/>
    <w:uiPriority w:val="99"/>
    <w:rPr>
      <w:color w:val="0563C1" w:themeColor="hyperlink"/>
      <w:u w:val="single"/>
      <w14:textFill>
        <w14:solidFill>
          <w14:schemeClr w14:val="hlink"/>
        </w14:solidFill>
      </w14:textFill>
    </w:rPr>
  </w:style>
  <w:style w:type="paragraph" w:styleId="11">
    <w:name w:val="Normal (Web)"/>
    <w:basedOn w:val="1"/>
    <w:unhideWhenUsed/>
    <w:uiPriority w:val="0"/>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Colorful List Accent 1"/>
    <w:basedOn w:val="3"/>
    <w:qFormat/>
    <w:uiPriority w:val="34"/>
    <w:pPr>
      <w:spacing w:after="0" w:line="240" w:lineRule="auto"/>
    </w:pPr>
    <w:rPr>
      <w:color w:val="000000"/>
    </w:rPr>
    <w:tblPr>
      <w:tblCellMar>
        <w:top w:w="0" w:type="dxa"/>
        <w:left w:w="108" w:type="dxa"/>
        <w:bottom w:w="0" w:type="dxa"/>
        <w:right w:w="108" w:type="dxa"/>
      </w:tblCellMar>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5">
    <w:name w:val="List Paragraph"/>
    <w:basedOn w:val="1"/>
    <w:link w:val="26"/>
    <w:qFormat/>
    <w:uiPriority w:val="1"/>
    <w:pPr>
      <w:spacing w:after="160" w:line="259" w:lineRule="auto"/>
      <w:ind w:left="720"/>
      <w:contextualSpacing/>
    </w:pPr>
    <w:rPr>
      <w:rFonts w:asciiTheme="minorHAnsi" w:hAnsiTheme="minorHAnsi" w:eastAsiaTheme="minorHAnsi" w:cstheme="minorBidi"/>
      <w:sz w:val="22"/>
      <w:szCs w:val="22"/>
    </w:rPr>
  </w:style>
  <w:style w:type="character" w:customStyle="1" w:styleId="16">
    <w:name w:val="Header Char"/>
    <w:basedOn w:val="2"/>
    <w:link w:val="9"/>
    <w:qFormat/>
    <w:uiPriority w:val="99"/>
  </w:style>
  <w:style w:type="character" w:customStyle="1" w:styleId="17">
    <w:name w:val="Footer Char"/>
    <w:basedOn w:val="2"/>
    <w:link w:val="8"/>
    <w:uiPriority w:val="99"/>
  </w:style>
  <w:style w:type="character" w:customStyle="1" w:styleId="18">
    <w:name w:val="Comment Text Char"/>
    <w:basedOn w:val="2"/>
    <w:link w:val="6"/>
    <w:uiPriority w:val="0"/>
    <w:rPr>
      <w:sz w:val="20"/>
      <w:szCs w:val="20"/>
    </w:rPr>
  </w:style>
  <w:style w:type="character" w:customStyle="1" w:styleId="19">
    <w:name w:val="Comment Subject Char"/>
    <w:basedOn w:val="18"/>
    <w:link w:val="7"/>
    <w:uiPriority w:val="0"/>
    <w:rPr>
      <w:b/>
      <w:bCs/>
      <w:sz w:val="20"/>
      <w:szCs w:val="20"/>
    </w:rPr>
  </w:style>
  <w:style w:type="character" w:customStyle="1" w:styleId="20">
    <w:name w:val="Balloon Text Char"/>
    <w:basedOn w:val="2"/>
    <w:link w:val="4"/>
    <w:semiHidden/>
    <w:uiPriority w:val="99"/>
    <w:rPr>
      <w:rFonts w:ascii="Segoe UI" w:hAnsi="Segoe UI" w:cs="Segoe UI"/>
      <w:sz w:val="18"/>
      <w:szCs w:val="18"/>
    </w:rPr>
  </w:style>
  <w:style w:type="paragraph" w:customStyle="1" w:styleId="21">
    <w:name w:val="Char Char Char Char"/>
    <w:basedOn w:val="1"/>
    <w:semiHidden/>
    <w:qFormat/>
    <w:uiPriority w:val="0"/>
    <w:pPr>
      <w:spacing w:after="160" w:line="240" w:lineRule="exact"/>
    </w:pPr>
    <w:rPr>
      <w:rFonts w:ascii="Arial" w:hAnsi="Arial"/>
      <w:sz w:val="22"/>
      <w:szCs w:val="22"/>
    </w:rPr>
  </w:style>
  <w:style w:type="paragraph" w:customStyle="1" w:styleId="22">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3">
    <w:name w:val="fontstyle01"/>
    <w:qFormat/>
    <w:uiPriority w:val="0"/>
    <w:rPr>
      <w:rFonts w:hint="default" w:ascii="Times New Roman" w:hAnsi="Times New Roman" w:cs="Times New Roman"/>
      <w:color w:val="000000"/>
      <w:sz w:val="26"/>
      <w:szCs w:val="26"/>
    </w:rPr>
  </w:style>
  <w:style w:type="character" w:customStyle="1" w:styleId="24">
    <w:name w:val="fontstyle21"/>
    <w:uiPriority w:val="0"/>
    <w:rPr>
      <w:rFonts w:hint="default" w:ascii="Arial" w:hAnsi="Arial" w:cs="Arial"/>
      <w:color w:val="727073"/>
      <w:sz w:val="18"/>
      <w:szCs w:val="18"/>
    </w:rPr>
  </w:style>
  <w:style w:type="table" w:customStyle="1" w:styleId="25">
    <w:name w:val="Table Grid1"/>
    <w:basedOn w:val="3"/>
    <w:qFormat/>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List Paragraph Char"/>
    <w:link w:val="15"/>
    <w:qFormat/>
    <w:locked/>
    <w:uiPriority w:val="34"/>
  </w:style>
  <w:style w:type="character" w:customStyle="1" w:styleId="27">
    <w:name w:val="Colorful List - Accent 1 Char"/>
    <w:qFormat/>
    <w:uiPriority w:val="34"/>
  </w:style>
  <w:style w:type="paragraph" w:styleId="28">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9">
    <w:name w:val="font71"/>
    <w:qFormat/>
    <w:uiPriority w:val="0"/>
    <w:rPr>
      <w:rFonts w:hint="default" w:ascii="Times New Roman" w:hAnsi="Times New Roman" w:cs="Times New Roman"/>
      <w:color w:val="FF0000"/>
      <w:sz w:val="28"/>
      <w:szCs w:val="28"/>
      <w:u w:val="none"/>
    </w:rPr>
  </w:style>
  <w:style w:type="character" w:customStyle="1" w:styleId="30">
    <w:name w:val="font81"/>
    <w:uiPriority w:val="0"/>
    <w:rPr>
      <w:rFonts w:ascii="Calibri" w:hAnsi="Calibri" w:cs="Calibri"/>
      <w:color w:val="0000CC"/>
      <w:sz w:val="28"/>
      <w:szCs w:val="28"/>
      <w:u w:val="none"/>
    </w:rPr>
  </w:style>
  <w:style w:type="paragraph" w:customStyle="1" w:styleId="31">
    <w:name w:val="Table Paragraph"/>
    <w:basedOn w:val="1"/>
    <w:qFormat/>
    <w:uiPriority w:val="1"/>
    <w:pPr>
      <w:widowControl w:val="0"/>
      <w:autoSpaceDE w:val="0"/>
      <w:autoSpaceDN w:val="0"/>
    </w:pPr>
    <w:rPr>
      <w:sz w:val="22"/>
      <w:szCs w:val="22"/>
      <w:lang w:val="v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34283-8D5D-4E94-8550-BA9E096331C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1559</Words>
  <Characters>5545</Characters>
  <Lines>52</Lines>
  <Paragraphs>14</Paragraphs>
  <TotalTime>96</TotalTime>
  <ScaleCrop>false</ScaleCrop>
  <LinksUpToDate>false</LinksUpToDate>
  <CharactersWithSpaces>7068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2026-09-25T07:41:00Z</dcterms:created>
  <dc:creator>Admin</dc:creator>
  <cp:lastModifiedBy>Truong Hoang Hiep</cp:lastModifiedBy>
  <cp:lastPrinted>2024-03-19T03:16:00Z</cp:lastPrinted>
  <dcterms:modified xsi:type="dcterms:W3CDTF">2026-09-30T03:49:30Z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1033-12.1.0.28485</vt:lpwstr>
  </property>
  <property fmtid="{D5CDD505-2E9C-101B-9397-08002B2CF9AE}" pid="4" name="ICV">
    <vt:lpwstr>FF3A0F7E4BD54DFEA1AC6DC1E1F45A9C_12</vt:lpwstr>
  </property>
</Properties>
</file>