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54" w:rsidRDefault="00104954" w:rsidP="00104954">
      <w:pPr>
        <w:ind w:right="-284"/>
        <w:rPr>
          <w:rFonts w:eastAsia="Arial"/>
          <w:b/>
          <w:color w:val="000000"/>
          <w:lang w:val="vi-VN"/>
        </w:rPr>
      </w:pPr>
    </w:p>
    <w:p w:rsidR="00DB6A8E" w:rsidRDefault="00104954" w:rsidP="00DB6A8E">
      <w:pPr>
        <w:ind w:right="-284"/>
        <w:rPr>
          <w:rFonts w:eastAsia="Arial"/>
          <w:noProof/>
          <w:color w:val="auto"/>
        </w:rPr>
      </w:pPr>
      <w:r w:rsidRPr="00104954">
        <w:rPr>
          <w:rFonts w:eastAsia="Arial"/>
          <w:b/>
          <w:color w:val="000000"/>
          <w:lang w:val="vi-VN"/>
        </w:rPr>
        <w:t xml:space="preserve">Phụ lục: Danh mục, số lượng, thông số kỹ thuật hàng hóa Gói </w:t>
      </w:r>
      <w:r w:rsidRPr="00DB6A8E">
        <w:rPr>
          <w:rFonts w:eastAsia="Arial"/>
          <w:b/>
          <w:color w:val="000000"/>
          <w:lang w:val="vi-VN"/>
        </w:rPr>
        <w:t xml:space="preserve">thầu </w:t>
      </w:r>
      <w:r w:rsidR="00DB6A8E" w:rsidRPr="00DB6A8E">
        <w:rPr>
          <w:rFonts w:eastAsia="Arial"/>
          <w:b/>
          <w:noProof/>
          <w:color w:val="auto"/>
          <w:lang w:val="vi-VN"/>
        </w:rPr>
        <w:t>Mua sắm linh kiện thay thế cho máy gây mê kèm thở</w:t>
      </w:r>
    </w:p>
    <w:p w:rsidR="00104954" w:rsidRPr="00104954" w:rsidRDefault="00104954" w:rsidP="00DB6A8E">
      <w:pPr>
        <w:ind w:right="-284"/>
        <w:jc w:val="center"/>
        <w:rPr>
          <w:rFonts w:eastAsia="Arial"/>
          <w:i/>
          <w:iCs/>
          <w:color w:val="auto"/>
          <w:szCs w:val="22"/>
          <w:lang w:val="vi-VN"/>
        </w:rPr>
      </w:pPr>
      <w:r w:rsidRPr="00104954">
        <w:rPr>
          <w:rFonts w:eastAsia="Arial"/>
          <w:i/>
          <w:iCs/>
          <w:color w:val="auto"/>
          <w:szCs w:val="22"/>
          <w:lang w:val="vi-VN"/>
        </w:rPr>
        <w:t xml:space="preserve">(Kèm theo Thư mời báo giá ngày </w:t>
      </w:r>
      <w:r w:rsidR="00257A97">
        <w:rPr>
          <w:rFonts w:eastAsia="Arial"/>
          <w:i/>
          <w:iCs/>
          <w:color w:val="auto"/>
          <w:szCs w:val="22"/>
          <w:lang w:val="vi-VN"/>
        </w:rPr>
        <w:t>2</w:t>
      </w:r>
      <w:r w:rsidR="00DB6A8E">
        <w:rPr>
          <w:rFonts w:eastAsia="Arial"/>
          <w:i/>
          <w:iCs/>
          <w:color w:val="auto"/>
          <w:szCs w:val="22"/>
        </w:rPr>
        <w:t>0</w:t>
      </w:r>
      <w:r w:rsidRPr="00104954">
        <w:rPr>
          <w:rFonts w:eastAsia="Arial"/>
          <w:i/>
          <w:iCs/>
          <w:color w:val="auto"/>
          <w:szCs w:val="22"/>
          <w:lang w:val="vi-VN"/>
        </w:rPr>
        <w:t>/0</w:t>
      </w:r>
      <w:r w:rsidR="00DB6A8E">
        <w:rPr>
          <w:rFonts w:eastAsia="Arial"/>
          <w:i/>
          <w:iCs/>
          <w:color w:val="auto"/>
          <w:szCs w:val="22"/>
        </w:rPr>
        <w:t>4</w:t>
      </w:r>
      <w:r w:rsidRPr="00104954">
        <w:rPr>
          <w:rFonts w:eastAsia="Arial"/>
          <w:i/>
          <w:iCs/>
          <w:color w:val="auto"/>
          <w:szCs w:val="22"/>
          <w:lang w:val="vi-VN"/>
        </w:rPr>
        <w:t xml:space="preserve">/2023 </w:t>
      </w:r>
      <w:r w:rsidRPr="00104954">
        <w:rPr>
          <w:rFonts w:eastAsia="Arial"/>
          <w:i/>
          <w:iCs/>
          <w:color w:val="000000"/>
          <w:szCs w:val="22"/>
          <w:lang w:val="vi-VN"/>
        </w:rPr>
        <w:t>của</w:t>
      </w:r>
      <w:r w:rsidRPr="00104954">
        <w:rPr>
          <w:rFonts w:eastAsia="Arial"/>
          <w:i/>
          <w:iCs/>
          <w:color w:val="auto"/>
          <w:szCs w:val="22"/>
          <w:lang w:val="vi-VN"/>
        </w:rPr>
        <w:t xml:space="preserve"> Bệnh viện đa khoa tỉnh Bắc Ninh)</w:t>
      </w:r>
    </w:p>
    <w:p w:rsidR="00104954" w:rsidRPr="00104954" w:rsidRDefault="00104954" w:rsidP="00104954">
      <w:pPr>
        <w:spacing w:after="200" w:line="276" w:lineRule="auto"/>
        <w:rPr>
          <w:rFonts w:eastAsia="Arial"/>
          <w:color w:val="auto"/>
          <w:szCs w:val="22"/>
          <w:lang w:val="vi-VN"/>
        </w:rPr>
      </w:pPr>
    </w:p>
    <w:tbl>
      <w:tblPr>
        <w:tblW w:w="457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3754"/>
        <w:gridCol w:w="2523"/>
        <w:gridCol w:w="1348"/>
        <w:gridCol w:w="1260"/>
        <w:gridCol w:w="4682"/>
      </w:tblGrid>
      <w:tr w:rsidR="0081338C" w:rsidRPr="00316EEA" w:rsidTr="0081338C">
        <w:trPr>
          <w:trHeight w:val="114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16EEA">
              <w:rPr>
                <w:b/>
                <w:bCs/>
                <w:color w:val="auto"/>
                <w:sz w:val="22"/>
                <w:szCs w:val="22"/>
              </w:rPr>
              <w:t>STT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16EEA">
              <w:rPr>
                <w:b/>
                <w:bCs/>
                <w:color w:val="auto"/>
                <w:sz w:val="22"/>
                <w:szCs w:val="22"/>
              </w:rPr>
              <w:t>Tên hàng hóa</w:t>
            </w:r>
          </w:p>
        </w:tc>
        <w:tc>
          <w:tcPr>
            <w:tcW w:w="887" w:type="pct"/>
            <w:vAlign w:val="center"/>
          </w:tcPr>
          <w:p w:rsidR="0081338C" w:rsidRPr="00316EEA" w:rsidRDefault="0081338C" w:rsidP="0081338C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Hãng, nước sản xuất</w:t>
            </w: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16EEA">
              <w:rPr>
                <w:b/>
                <w:bCs/>
                <w:color w:val="auto"/>
                <w:sz w:val="22"/>
                <w:szCs w:val="22"/>
              </w:rPr>
              <w:t>Số lượng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16EEA">
              <w:rPr>
                <w:b/>
                <w:bCs/>
                <w:color w:val="auto"/>
                <w:sz w:val="22"/>
                <w:szCs w:val="22"/>
              </w:rPr>
              <w:t>Đơn vị tính</w:t>
            </w: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16EEA">
              <w:rPr>
                <w:b/>
                <w:bCs/>
                <w:color w:val="auto"/>
                <w:sz w:val="22"/>
                <w:szCs w:val="22"/>
              </w:rPr>
              <w:t>Yêu cầu kỹ thuật</w:t>
            </w:r>
          </w:p>
        </w:tc>
      </w:tr>
      <w:tr w:rsidR="0081338C" w:rsidRPr="00316EEA" w:rsidTr="0081338C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16EEA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/>
                <w:bCs/>
                <w:color w:val="auto"/>
                <w:sz w:val="22"/>
                <w:szCs w:val="22"/>
              </w:rPr>
            </w:pPr>
            <w:r w:rsidRPr="00316EEA">
              <w:rPr>
                <w:b/>
                <w:bCs/>
                <w:color w:val="auto"/>
                <w:sz w:val="22"/>
                <w:szCs w:val="22"/>
              </w:rPr>
              <w:t>Linh kiện sửa chữa cho máy Avance CS2, hãng sản xuất: GE Healthcare</w:t>
            </w:r>
          </w:p>
        </w:tc>
        <w:tc>
          <w:tcPr>
            <w:tcW w:w="887" w:type="pct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81338C" w:rsidRPr="00316EEA" w:rsidTr="008274BD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1.1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Cảm biến Oxy</w:t>
            </w:r>
          </w:p>
        </w:tc>
        <w:tc>
          <w:tcPr>
            <w:tcW w:w="887" w:type="pct"/>
            <w:vAlign w:val="center"/>
          </w:tcPr>
          <w:p w:rsidR="0081338C" w:rsidRDefault="00813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 Healthcare/ Mỹ</w:t>
            </w: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Chiếc</w:t>
            </w: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Đo lượng oxy trong đường thở.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Hiển thị trực tiếp giá trị O₂ trên màn hình.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So sánh giá trị O₂ với các giới hạn đã lưu.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Sử dụng tương thích với máy Avance CS2,</w:t>
            </w:r>
            <w:r w:rsidRPr="00316EE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16EEA">
              <w:rPr>
                <w:bCs/>
                <w:color w:val="auto"/>
                <w:sz w:val="22"/>
                <w:szCs w:val="22"/>
              </w:rPr>
              <w:t>hãng sản xuất: GE Healthcare</w:t>
            </w:r>
          </w:p>
        </w:tc>
      </w:tr>
      <w:tr w:rsidR="0081338C" w:rsidRPr="00316EEA" w:rsidTr="008274BD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1.2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Ắc quy</w:t>
            </w:r>
          </w:p>
        </w:tc>
        <w:tc>
          <w:tcPr>
            <w:tcW w:w="887" w:type="pct"/>
            <w:vAlign w:val="center"/>
          </w:tcPr>
          <w:p w:rsidR="0081338C" w:rsidRDefault="00813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04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color w:val="auto"/>
              </w:rPr>
            </w:pPr>
            <w:r w:rsidRPr="00316EEA">
              <w:rPr>
                <w:color w:val="auto"/>
                <w:sz w:val="22"/>
                <w:szCs w:val="22"/>
              </w:rPr>
              <w:t>Chiếc</w:t>
            </w: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 xml:space="preserve">Ắc quy 12V-5Ah tương thích với máy mê GE. 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Chất liệu: Chì, nhựa, axit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Sử dụng tương thích với máy Avance CS2</w:t>
            </w:r>
          </w:p>
        </w:tc>
      </w:tr>
      <w:tr w:rsidR="0081338C" w:rsidRPr="00316EEA" w:rsidTr="008274BD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1.3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Bộ trộn khí mê</w:t>
            </w:r>
          </w:p>
        </w:tc>
        <w:tc>
          <w:tcPr>
            <w:tcW w:w="887" w:type="pct"/>
            <w:vAlign w:val="center"/>
          </w:tcPr>
          <w:p w:rsidR="0081338C" w:rsidRDefault="00813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 Healthcare/ Mỹ</w:t>
            </w: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Chiếc</w:t>
            </w: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Mạch điện tử, kiểm soát trộn khí cho máy mê, dùng cho Avance, Aisys. Bộ trộn có cơ chế dự phòng bằng đường Oxy khẩn cấp trong 1 số trường hợp.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Chất liệu: kim loại, mạch dẫn điện tử.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Sử dụng tương thích với máy Avance CS2, hãng sản xuất: GE Healthcare</w:t>
            </w:r>
          </w:p>
        </w:tc>
      </w:tr>
      <w:tr w:rsidR="0081338C" w:rsidRPr="00316EEA" w:rsidTr="008274BD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1.4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Bẫy nước</w:t>
            </w:r>
          </w:p>
        </w:tc>
        <w:tc>
          <w:tcPr>
            <w:tcW w:w="887" w:type="pct"/>
            <w:vAlign w:val="center"/>
          </w:tcPr>
          <w:p w:rsidR="0081338C" w:rsidRDefault="00813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color w:val="auto"/>
              </w:rPr>
            </w:pPr>
            <w:r w:rsidRPr="00316EEA">
              <w:rPr>
                <w:color w:val="auto"/>
                <w:sz w:val="22"/>
                <w:szCs w:val="22"/>
              </w:rPr>
              <w:t>Chiếc</w:t>
            </w: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Chất liệu: kim loại.; chức năng loại bỏ nước, cho dòng khí khô đi vào các loại máy; cấu tạo chắc chắn, dễ lắp đặt vận hành.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Sử dụng tương thích với máy Avance CS2</w:t>
            </w:r>
          </w:p>
        </w:tc>
      </w:tr>
      <w:tr w:rsidR="0081338C" w:rsidRPr="00316EEA" w:rsidTr="008274BD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1.5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Kit kết nối bẫy nước</w:t>
            </w:r>
          </w:p>
        </w:tc>
        <w:tc>
          <w:tcPr>
            <w:tcW w:w="887" w:type="pct"/>
            <w:vAlign w:val="center"/>
          </w:tcPr>
          <w:p w:rsidR="0081338C" w:rsidRDefault="00813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color w:val="auto"/>
              </w:rPr>
            </w:pPr>
            <w:r w:rsidRPr="00316EEA">
              <w:rPr>
                <w:color w:val="auto"/>
                <w:sz w:val="22"/>
                <w:szCs w:val="22"/>
              </w:rPr>
              <w:t>Chiếc</w:t>
            </w: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Chất liệu: kim loại; công dụng kết nối giữa bộ lọc và các loại máy khác nhau. Khả năng kết nối linh động, chắc chắn, chống rò rỉ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Sử dụng tương thích với máy Avance CS2</w:t>
            </w:r>
          </w:p>
        </w:tc>
      </w:tr>
      <w:tr w:rsidR="0081338C" w:rsidRPr="00316EEA" w:rsidTr="008274BD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Bo mạch điều khiển máy mê</w:t>
            </w:r>
          </w:p>
        </w:tc>
        <w:tc>
          <w:tcPr>
            <w:tcW w:w="887" w:type="pct"/>
            <w:vAlign w:val="center"/>
          </w:tcPr>
          <w:p w:rsidR="0081338C" w:rsidRDefault="00813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 Healthcare/ Mỹ</w:t>
            </w: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color w:val="auto"/>
              </w:rPr>
            </w:pPr>
            <w:r w:rsidRPr="00316EEA">
              <w:rPr>
                <w:color w:val="auto"/>
                <w:sz w:val="22"/>
                <w:szCs w:val="22"/>
              </w:rPr>
              <w:t>Chiếc</w:t>
            </w: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Bảng điều khiển PCA máy gây mê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Dải điện áp 12,5V DC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Vi điều khiển hiệu suất cao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Dòng bộ nhớ nhúng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Sử dụng tương thích với máy Avance CS2, hãng sản xuất: GE Healthcare</w:t>
            </w:r>
          </w:p>
        </w:tc>
      </w:tr>
      <w:tr w:rsidR="0081338C" w:rsidRPr="00316EEA" w:rsidTr="008274BD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1.7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Van điều khiển khí máy mê</w:t>
            </w:r>
          </w:p>
        </w:tc>
        <w:tc>
          <w:tcPr>
            <w:tcW w:w="887" w:type="pct"/>
            <w:vAlign w:val="center"/>
          </w:tcPr>
          <w:p w:rsidR="0081338C" w:rsidRDefault="00813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 Healthcare/ Mỹ</w:t>
            </w: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color w:val="auto"/>
              </w:rPr>
            </w:pPr>
            <w:r w:rsidRPr="00316EEA">
              <w:rPr>
                <w:color w:val="auto"/>
                <w:sz w:val="22"/>
                <w:szCs w:val="22"/>
              </w:rPr>
              <w:t>Chiếc</w:t>
            </w: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Chất liệu: nhựa, kim loại. Được điều khiển bằng điện 12v, cho dòng chính xác và lên đến 120L/phút.  Vật liệu cấu thành an toàn và đạt chuẩn RoHS.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Sử dụng tương thích với máy Avance CS2, hãng sản xuất: GE Healthcare</w:t>
            </w:r>
          </w:p>
        </w:tc>
      </w:tr>
      <w:tr w:rsidR="0081338C" w:rsidRPr="00316EEA" w:rsidTr="0081338C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16EEA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/>
                <w:bCs/>
                <w:color w:val="auto"/>
                <w:sz w:val="22"/>
                <w:szCs w:val="22"/>
              </w:rPr>
            </w:pPr>
            <w:r w:rsidRPr="00316EEA">
              <w:rPr>
                <w:b/>
                <w:bCs/>
                <w:color w:val="auto"/>
                <w:sz w:val="22"/>
                <w:szCs w:val="22"/>
              </w:rPr>
              <w:t>Linh kiện sửa chữa cho máy Aespire 7100, hãng sản xuất: GE Healthcare</w:t>
            </w:r>
          </w:p>
        </w:tc>
        <w:tc>
          <w:tcPr>
            <w:tcW w:w="887" w:type="pct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81338C" w:rsidRPr="00316EEA" w:rsidTr="00A90D50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2.1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Cảm biến Oxy</w:t>
            </w:r>
          </w:p>
        </w:tc>
        <w:tc>
          <w:tcPr>
            <w:tcW w:w="887" w:type="pct"/>
            <w:vAlign w:val="center"/>
          </w:tcPr>
          <w:p w:rsidR="0081338C" w:rsidRDefault="00813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 Healthcare/ Mỹ</w:t>
            </w: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Chiếc</w:t>
            </w: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Đo lượng oxy trong đường thở.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Hiển thị trực tiếp giá trị O₂ trên màn hình.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So sánh giá trị O₂ với các giới hạn đã lưu.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Sử dụng tương thích với máy Aespire 7100, hãng sản xuất: GE Healthcare</w:t>
            </w:r>
          </w:p>
        </w:tc>
      </w:tr>
      <w:tr w:rsidR="0081338C" w:rsidRPr="00316EEA" w:rsidTr="00A90D50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2.2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 xml:space="preserve">Cáp kết nối cảm biến oxy  </w:t>
            </w:r>
          </w:p>
        </w:tc>
        <w:tc>
          <w:tcPr>
            <w:tcW w:w="887" w:type="pct"/>
            <w:vAlign w:val="center"/>
          </w:tcPr>
          <w:p w:rsidR="0081338C" w:rsidRDefault="00813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 Healthcare/ Mỹ</w:t>
            </w: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Chiếc</w:t>
            </w: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 xml:space="preserve">Cáp kết nối cảm biến oxy. 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Chất liệu nhựa, chuyền tín hiệu điện từ cảm biến đến bo mạch.</w:t>
            </w:r>
          </w:p>
          <w:p w:rsidR="0081338C" w:rsidRPr="00316EEA" w:rsidRDefault="0081338C" w:rsidP="006C1F63">
            <w:pPr>
              <w:rPr>
                <w:b/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Sử dụng tương thích với máy Aespire 7100, hãng sản xuất: GE Healthcare</w:t>
            </w:r>
          </w:p>
        </w:tc>
      </w:tr>
      <w:tr w:rsidR="0081338C" w:rsidRPr="00316EEA" w:rsidTr="00A90D50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2.3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Cảm biến lưu lượng máy mê</w:t>
            </w:r>
          </w:p>
        </w:tc>
        <w:tc>
          <w:tcPr>
            <w:tcW w:w="887" w:type="pct"/>
            <w:vAlign w:val="center"/>
          </w:tcPr>
          <w:p w:rsidR="0081338C" w:rsidRDefault="00813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 Healthcare/ Mỹ</w:t>
            </w: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04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Chiếc</w:t>
            </w: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Cảm biến lưu lượng máy mê.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Chất liệu: nhựa, dùng lá kim loại ở giữa, đo dòng bằng chênh lệch áp lực khí 2 bên tấm kim loại khi có dòng khí đi qua.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Sử dụng tương thích với máy Aespire 7100, hãng sản xuất: GE Healthcare</w:t>
            </w:r>
          </w:p>
        </w:tc>
      </w:tr>
      <w:tr w:rsidR="0081338C" w:rsidRPr="00316EEA" w:rsidTr="00A90D50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2.4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Van điều khiển dòng khí máy mê</w:t>
            </w:r>
          </w:p>
        </w:tc>
        <w:tc>
          <w:tcPr>
            <w:tcW w:w="887" w:type="pct"/>
            <w:vAlign w:val="center"/>
          </w:tcPr>
          <w:p w:rsidR="0081338C" w:rsidRDefault="00813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 Healthcare/ Mỹ</w:t>
            </w: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Chiếc</w:t>
            </w: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Đo tốc độ dòng lên 75L/ phút, độ chính xác cao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Có khả năng chống rò rỉ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Được chứng nhận RoHS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Sử dụng tương thích với máy Aespire 7100, hãng sản xuất: GE Healthcare</w:t>
            </w:r>
          </w:p>
        </w:tc>
      </w:tr>
      <w:tr w:rsidR="0081338C" w:rsidRPr="00316EEA" w:rsidTr="00A90D50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lastRenderedPageBreak/>
              <w:t>2.5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Bảng mạch theo dõi máy mê</w:t>
            </w:r>
          </w:p>
        </w:tc>
        <w:tc>
          <w:tcPr>
            <w:tcW w:w="887" w:type="pct"/>
            <w:vAlign w:val="center"/>
          </w:tcPr>
          <w:p w:rsidR="0081338C" w:rsidRDefault="00813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 Healthcare/ Mỹ</w:t>
            </w: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Chiếc</w:t>
            </w: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Chức năng: giao tiếp giữa bo mạch điều khiển thông khí và các cảm biến của mạch thở gồm: cảm biến O</w:t>
            </w:r>
            <w:r w:rsidRPr="00316EEA">
              <w:rPr>
                <w:bCs/>
                <w:color w:val="auto"/>
                <w:sz w:val="22"/>
                <w:szCs w:val="22"/>
                <w:vertAlign w:val="subscript"/>
              </w:rPr>
              <w:t>2</w:t>
            </w:r>
            <w:r w:rsidRPr="00316EEA">
              <w:rPr>
                <w:bCs/>
                <w:color w:val="auto"/>
                <w:sz w:val="22"/>
                <w:szCs w:val="22"/>
              </w:rPr>
              <w:t>, cảm biến dòng, bag/vent.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Không sử dụng vậy liệu có nguy cơ gây hại.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Đáp ứng tiêu chuẩn an toàn.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Sử dụng tương thích với máy Aespire 7100, hãng sản xuất: GE Healthcare</w:t>
            </w:r>
          </w:p>
        </w:tc>
      </w:tr>
      <w:tr w:rsidR="0081338C" w:rsidRPr="00316EEA" w:rsidTr="00A90D50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2.6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 xml:space="preserve">Cảm biến áp suất cho máy gây mê  </w:t>
            </w:r>
          </w:p>
        </w:tc>
        <w:tc>
          <w:tcPr>
            <w:tcW w:w="887" w:type="pct"/>
            <w:vAlign w:val="center"/>
          </w:tcPr>
          <w:p w:rsidR="0081338C" w:rsidRDefault="00813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 Healthcare/ Mỹ</w:t>
            </w: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color w:val="auto"/>
              </w:rPr>
            </w:pPr>
            <w:r w:rsidRPr="00316EEA">
              <w:rPr>
                <w:color w:val="auto"/>
                <w:sz w:val="22"/>
                <w:szCs w:val="22"/>
              </w:rPr>
              <w:t>Chiếc</w:t>
            </w: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Chất liệu: nhựa; chức năng đo áp suất khí đi qua; được điều khiển bằng điện; cho áp lực đo được lên 20 psi; và đạt tiêu chuẩn RoHS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Sử dụng tương thích với máy Aespire 7100, hãng sản xuất: GE Healthcare</w:t>
            </w:r>
          </w:p>
        </w:tc>
      </w:tr>
      <w:tr w:rsidR="0081338C" w:rsidRPr="00316EEA" w:rsidTr="00A90D50">
        <w:trPr>
          <w:trHeight w:val="980"/>
        </w:trPr>
        <w:tc>
          <w:tcPr>
            <w:tcW w:w="23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2.7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 xml:space="preserve">Màn hình hiển thị </w:t>
            </w:r>
          </w:p>
        </w:tc>
        <w:tc>
          <w:tcPr>
            <w:tcW w:w="887" w:type="pct"/>
            <w:vAlign w:val="center"/>
          </w:tcPr>
          <w:p w:rsidR="0081338C" w:rsidRDefault="00813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 Healthcare/ Mỹ</w:t>
            </w:r>
          </w:p>
        </w:tc>
        <w:tc>
          <w:tcPr>
            <w:tcW w:w="474" w:type="pct"/>
            <w:vAlign w:val="center"/>
          </w:tcPr>
          <w:p w:rsidR="0081338C" w:rsidRPr="00316EEA" w:rsidRDefault="0081338C" w:rsidP="006C1F63">
            <w:pPr>
              <w:jc w:val="center"/>
              <w:rPr>
                <w:color w:val="auto"/>
                <w:sz w:val="22"/>
                <w:szCs w:val="22"/>
              </w:rPr>
            </w:pPr>
            <w:r w:rsidRPr="00316EEA"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jc w:val="center"/>
              <w:rPr>
                <w:color w:val="auto"/>
              </w:rPr>
            </w:pPr>
            <w:r w:rsidRPr="00316EEA">
              <w:rPr>
                <w:color w:val="auto"/>
                <w:sz w:val="22"/>
                <w:szCs w:val="22"/>
              </w:rPr>
              <w:t>Chiếc</w:t>
            </w:r>
          </w:p>
        </w:tc>
        <w:tc>
          <w:tcPr>
            <w:tcW w:w="1646" w:type="pct"/>
            <w:shd w:val="clear" w:color="auto" w:fill="auto"/>
            <w:vAlign w:val="center"/>
            <w:hideMark/>
          </w:tcPr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 xml:space="preserve">Chất liệu: bo mạch điện; chức năng hiển thị các thông số của máy; màn hình có độ dài chéo là 151mm, độ phân giải lên đến 320*240 pixel.  </w:t>
            </w:r>
          </w:p>
          <w:p w:rsidR="0081338C" w:rsidRPr="00316EEA" w:rsidRDefault="0081338C" w:rsidP="006C1F63">
            <w:pPr>
              <w:rPr>
                <w:bCs/>
                <w:color w:val="auto"/>
                <w:sz w:val="22"/>
                <w:szCs w:val="22"/>
              </w:rPr>
            </w:pPr>
            <w:r w:rsidRPr="00316EEA">
              <w:rPr>
                <w:bCs/>
                <w:color w:val="auto"/>
                <w:sz w:val="22"/>
                <w:szCs w:val="22"/>
              </w:rPr>
              <w:t>Sử dụng tương thích với máy Aespire 7100, hãng sản xuất: GE Healthcare</w:t>
            </w:r>
          </w:p>
        </w:tc>
      </w:tr>
    </w:tbl>
    <w:p w:rsidR="00104954" w:rsidRPr="00104954" w:rsidRDefault="00104954" w:rsidP="00104954">
      <w:pPr>
        <w:spacing w:after="120"/>
        <w:jc w:val="center"/>
        <w:rPr>
          <w:i/>
          <w:iCs/>
          <w:color w:val="auto"/>
          <w:sz w:val="24"/>
          <w:szCs w:val="24"/>
        </w:rPr>
      </w:pPr>
    </w:p>
    <w:p w:rsidR="00EB7948" w:rsidRDefault="00EB7948">
      <w:pPr>
        <w:rPr>
          <w:color w:val="auto"/>
        </w:rPr>
      </w:pPr>
    </w:p>
    <w:p w:rsidR="00C7570C" w:rsidRDefault="00C7570C">
      <w:pPr>
        <w:rPr>
          <w:color w:val="auto"/>
        </w:rPr>
      </w:pPr>
    </w:p>
    <w:p w:rsidR="0081338C" w:rsidRDefault="0081338C">
      <w:pPr>
        <w:rPr>
          <w:color w:val="auto"/>
        </w:rPr>
      </w:pPr>
    </w:p>
    <w:p w:rsidR="0081338C" w:rsidRDefault="0081338C">
      <w:pPr>
        <w:rPr>
          <w:color w:val="auto"/>
        </w:rPr>
      </w:pPr>
    </w:p>
    <w:p w:rsidR="0081338C" w:rsidRDefault="0081338C">
      <w:pPr>
        <w:rPr>
          <w:color w:val="auto"/>
        </w:rPr>
      </w:pPr>
    </w:p>
    <w:p w:rsidR="0081338C" w:rsidRDefault="0081338C">
      <w:pPr>
        <w:rPr>
          <w:color w:val="auto"/>
        </w:rPr>
      </w:pPr>
    </w:p>
    <w:p w:rsidR="0081338C" w:rsidRDefault="0081338C">
      <w:pPr>
        <w:rPr>
          <w:color w:val="auto"/>
        </w:rPr>
      </w:pPr>
    </w:p>
    <w:p w:rsidR="0081338C" w:rsidRDefault="0081338C">
      <w:pPr>
        <w:rPr>
          <w:color w:val="auto"/>
        </w:rPr>
      </w:pPr>
    </w:p>
    <w:p w:rsidR="0081338C" w:rsidRDefault="0081338C">
      <w:pPr>
        <w:rPr>
          <w:color w:val="auto"/>
        </w:rPr>
      </w:pPr>
    </w:p>
    <w:p w:rsidR="0081338C" w:rsidRDefault="0081338C">
      <w:pPr>
        <w:rPr>
          <w:color w:val="auto"/>
        </w:rPr>
      </w:pPr>
    </w:p>
    <w:p w:rsidR="0081338C" w:rsidRDefault="0081338C">
      <w:pPr>
        <w:rPr>
          <w:color w:val="auto"/>
        </w:rPr>
      </w:pPr>
    </w:p>
    <w:p w:rsidR="0081338C" w:rsidRDefault="0081338C">
      <w:pPr>
        <w:rPr>
          <w:color w:val="auto"/>
        </w:rPr>
      </w:pPr>
    </w:p>
    <w:p w:rsidR="0081338C" w:rsidRDefault="0081338C">
      <w:pPr>
        <w:rPr>
          <w:color w:val="auto"/>
        </w:rPr>
      </w:pPr>
    </w:p>
    <w:p w:rsidR="0081338C" w:rsidRDefault="0081338C">
      <w:pPr>
        <w:rPr>
          <w:color w:val="auto"/>
        </w:rPr>
      </w:pPr>
    </w:p>
    <w:p w:rsidR="0081338C" w:rsidRDefault="0081338C">
      <w:pPr>
        <w:rPr>
          <w:color w:val="auto"/>
        </w:rPr>
      </w:pPr>
    </w:p>
    <w:p w:rsidR="0081338C" w:rsidRDefault="0081338C">
      <w:pPr>
        <w:rPr>
          <w:color w:val="auto"/>
        </w:rPr>
      </w:pPr>
    </w:p>
    <w:p w:rsidR="0081338C" w:rsidRDefault="0081338C">
      <w:pPr>
        <w:rPr>
          <w:color w:val="auto"/>
        </w:rPr>
      </w:pPr>
    </w:p>
    <w:p w:rsidR="00C7570C" w:rsidRPr="00C7570C" w:rsidRDefault="00C7570C" w:rsidP="00C7570C">
      <w:pPr>
        <w:tabs>
          <w:tab w:val="left" w:pos="851"/>
          <w:tab w:val="center" w:pos="7288"/>
        </w:tabs>
        <w:spacing w:after="200"/>
        <w:ind w:right="560"/>
        <w:rPr>
          <w:rFonts w:eastAsia="Arial"/>
          <w:i/>
          <w:color w:val="auto"/>
          <w:sz w:val="26"/>
          <w:szCs w:val="20"/>
          <w:lang w:val="vi-VN"/>
        </w:rPr>
      </w:pPr>
      <w:r w:rsidRPr="00C7570C">
        <w:rPr>
          <w:rFonts w:eastAsia="Arial"/>
          <w:b/>
          <w:color w:val="auto"/>
          <w:sz w:val="26"/>
          <w:szCs w:val="20"/>
          <w:lang w:val="vi-VN"/>
        </w:rPr>
        <w:lastRenderedPageBreak/>
        <w:t>Phụ lục 2:</w:t>
      </w:r>
      <w:r w:rsidRPr="00C7570C">
        <w:rPr>
          <w:rFonts w:eastAsia="Arial"/>
          <w:i/>
          <w:color w:val="auto"/>
          <w:sz w:val="26"/>
          <w:szCs w:val="20"/>
          <w:lang w:val="vi-VN"/>
        </w:rPr>
        <w:tab/>
        <w:t>MẪU BÁO GIÁ</w:t>
      </w:r>
    </w:p>
    <w:p w:rsidR="00C7570C" w:rsidRPr="00C7570C" w:rsidRDefault="00C7570C" w:rsidP="00C7570C">
      <w:pPr>
        <w:spacing w:after="200"/>
        <w:ind w:right="560"/>
        <w:jc w:val="center"/>
        <w:rPr>
          <w:rFonts w:eastAsia="Arial"/>
          <w:i/>
          <w:color w:val="auto"/>
          <w:sz w:val="26"/>
          <w:szCs w:val="20"/>
          <w:lang w:val="vi-VN"/>
        </w:rPr>
      </w:pPr>
      <w:r w:rsidRPr="00C7570C">
        <w:rPr>
          <w:rFonts w:eastAsia="Arial"/>
          <w:i/>
          <w:color w:val="auto"/>
          <w:sz w:val="26"/>
          <w:szCs w:val="20"/>
          <w:lang w:val="vi-VN"/>
        </w:rPr>
        <w:t>(Kèm theo Thư mời báo giá ngày …/…/2023)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7659"/>
      </w:tblGrid>
      <w:tr w:rsidR="00C7570C" w:rsidRPr="00C7570C" w:rsidTr="00402502">
        <w:trPr>
          <w:trHeight w:val="308"/>
        </w:trPr>
        <w:tc>
          <w:tcPr>
            <w:tcW w:w="6658" w:type="dxa"/>
          </w:tcPr>
          <w:p w:rsidR="00C7570C" w:rsidRPr="00C7570C" w:rsidRDefault="00C7570C" w:rsidP="00C7570C">
            <w:pPr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C7570C">
              <w:rPr>
                <w:rFonts w:eastAsia="Calibri"/>
                <w:b/>
                <w:color w:val="auto"/>
                <w:sz w:val="22"/>
                <w:szCs w:val="22"/>
              </w:rPr>
              <w:t>CÔNG TY…………….</w:t>
            </w:r>
          </w:p>
          <w:p w:rsidR="00C7570C" w:rsidRPr="00C7570C" w:rsidRDefault="00C7570C" w:rsidP="00C7570C">
            <w:pPr>
              <w:rPr>
                <w:rFonts w:eastAsia="Arial"/>
                <w:color w:val="auto"/>
                <w:sz w:val="26"/>
                <w:szCs w:val="26"/>
              </w:rPr>
            </w:pPr>
            <w:r w:rsidRPr="00C7570C">
              <w:rPr>
                <w:rFonts w:eastAsia="Arial"/>
                <w:color w:val="auto"/>
                <w:sz w:val="26"/>
                <w:szCs w:val="26"/>
              </w:rPr>
              <w:t>Đc:…………………….</w:t>
            </w:r>
          </w:p>
          <w:p w:rsidR="00C7570C" w:rsidRPr="00C7570C" w:rsidRDefault="00C7570C" w:rsidP="00C7570C">
            <w:pPr>
              <w:rPr>
                <w:rFonts w:eastAsia="Arial"/>
                <w:color w:val="auto"/>
                <w:sz w:val="26"/>
                <w:szCs w:val="26"/>
              </w:rPr>
            </w:pPr>
            <w:r w:rsidRPr="00C7570C">
              <w:rPr>
                <w:rFonts w:eastAsia="Arial"/>
                <w:color w:val="auto"/>
                <w:sz w:val="26"/>
                <w:szCs w:val="26"/>
              </w:rPr>
              <w:t>Email:…………………</w:t>
            </w:r>
          </w:p>
          <w:p w:rsidR="00C7570C" w:rsidRPr="00C7570C" w:rsidRDefault="00C7570C" w:rsidP="00C7570C">
            <w:pPr>
              <w:spacing w:after="200"/>
              <w:rPr>
                <w:rFonts w:eastAsia="Arial"/>
                <w:color w:val="auto"/>
                <w:sz w:val="26"/>
                <w:szCs w:val="20"/>
              </w:rPr>
            </w:pPr>
            <w:r w:rsidRPr="00C7570C">
              <w:rPr>
                <w:rFonts w:eastAsia="Arial"/>
                <w:color w:val="auto"/>
                <w:sz w:val="26"/>
                <w:szCs w:val="26"/>
              </w:rPr>
              <w:t>Số ĐT liên lạc:………..</w:t>
            </w:r>
          </w:p>
        </w:tc>
        <w:tc>
          <w:tcPr>
            <w:tcW w:w="7659" w:type="dxa"/>
          </w:tcPr>
          <w:p w:rsidR="00C7570C" w:rsidRPr="00C7570C" w:rsidRDefault="00C7570C" w:rsidP="00C7570C">
            <w:pPr>
              <w:spacing w:after="200"/>
              <w:rPr>
                <w:rFonts w:eastAsia="Arial"/>
                <w:color w:val="auto"/>
                <w:sz w:val="26"/>
                <w:szCs w:val="20"/>
              </w:rPr>
            </w:pPr>
          </w:p>
        </w:tc>
      </w:tr>
    </w:tbl>
    <w:p w:rsidR="00C7570C" w:rsidRPr="00C7570C" w:rsidRDefault="00C7570C" w:rsidP="00C7570C">
      <w:pPr>
        <w:spacing w:after="200"/>
        <w:jc w:val="center"/>
        <w:rPr>
          <w:rFonts w:eastAsia="Arial"/>
          <w:b/>
          <w:color w:val="auto"/>
          <w:szCs w:val="30"/>
          <w:lang w:val="vi-VN"/>
        </w:rPr>
      </w:pPr>
      <w:r w:rsidRPr="00C7570C">
        <w:rPr>
          <w:rFonts w:eastAsia="Arial"/>
          <w:b/>
          <w:color w:val="auto"/>
          <w:szCs w:val="30"/>
          <w:lang w:val="vi-VN"/>
        </w:rPr>
        <w:t>BẢNG BÁO GIÁ</w:t>
      </w:r>
    </w:p>
    <w:p w:rsidR="00C7570C" w:rsidRPr="00C7570C" w:rsidRDefault="00C7570C" w:rsidP="00C7570C">
      <w:pPr>
        <w:spacing w:after="200"/>
        <w:rPr>
          <w:rFonts w:eastAsia="Arial"/>
          <w:color w:val="auto"/>
          <w:sz w:val="24"/>
          <w:szCs w:val="20"/>
          <w:lang w:val="vi-VN"/>
        </w:rPr>
      </w:pPr>
      <w:r w:rsidRPr="00C7570C">
        <w:rPr>
          <w:rFonts w:eastAsia="Arial"/>
          <w:color w:val="auto"/>
          <w:sz w:val="24"/>
          <w:szCs w:val="20"/>
          <w:lang w:val="vi-VN"/>
        </w:rPr>
        <w:t>Kính gửi: BỆNH VIỆN ĐA KHOA TỈNH BẮC NINH</w:t>
      </w:r>
    </w:p>
    <w:p w:rsidR="00C7570C" w:rsidRPr="00C7570C" w:rsidRDefault="00C7570C" w:rsidP="00C7570C">
      <w:pPr>
        <w:spacing w:after="200"/>
        <w:rPr>
          <w:rFonts w:eastAsia="Arial"/>
          <w:color w:val="auto"/>
          <w:sz w:val="24"/>
          <w:szCs w:val="20"/>
          <w:lang w:val="vi-VN"/>
        </w:rPr>
      </w:pPr>
      <w:r w:rsidRPr="00C7570C">
        <w:rPr>
          <w:rFonts w:eastAsia="Arial"/>
          <w:color w:val="auto"/>
          <w:sz w:val="24"/>
          <w:szCs w:val="26"/>
          <w:lang w:val="vi-VN"/>
        </w:rPr>
        <w:t xml:space="preserve">Địa chỉ: Đường Nguyễn Quyền – Phường Võ Cường – TP Bắc Ninh – Tỉnh Bắc Ninh        ĐT: 02223821242    Email: </w:t>
      </w:r>
      <w:hyperlink r:id="rId6" w:history="1">
        <w:r w:rsidRPr="00C7570C">
          <w:rPr>
            <w:rFonts w:eastAsia="Arial"/>
            <w:color w:val="0563C1"/>
            <w:sz w:val="24"/>
            <w:szCs w:val="26"/>
            <w:u w:val="single"/>
            <w:lang w:val="vi-VN"/>
          </w:rPr>
          <w:t>bvdkbacninh@gmail.com</w:t>
        </w:r>
      </w:hyperlink>
    </w:p>
    <w:p w:rsidR="00C7570C" w:rsidRPr="00C7570C" w:rsidRDefault="00C7570C" w:rsidP="00C7570C">
      <w:pPr>
        <w:spacing w:after="200"/>
        <w:rPr>
          <w:rFonts w:eastAsia="Arial"/>
          <w:color w:val="auto"/>
          <w:sz w:val="24"/>
          <w:szCs w:val="20"/>
          <w:lang w:val="vi-VN"/>
        </w:rPr>
      </w:pPr>
      <w:r w:rsidRPr="00C7570C">
        <w:rPr>
          <w:rFonts w:eastAsia="Arial"/>
          <w:color w:val="auto"/>
          <w:sz w:val="24"/>
          <w:szCs w:val="20"/>
          <w:lang w:val="vi-VN"/>
        </w:rPr>
        <w:t>Công ty/ cửa hàng chúng tôi kính gửi quý Bệnh viện báo giá sau:</w:t>
      </w:r>
    </w:p>
    <w:tbl>
      <w:tblPr>
        <w:tblW w:w="4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44"/>
        <w:gridCol w:w="2172"/>
        <w:gridCol w:w="3241"/>
        <w:gridCol w:w="1530"/>
        <w:gridCol w:w="1080"/>
        <w:gridCol w:w="1168"/>
        <w:gridCol w:w="1171"/>
        <w:gridCol w:w="1171"/>
      </w:tblGrid>
      <w:tr w:rsidR="0081338C" w:rsidRPr="00C7570C" w:rsidTr="0081338C">
        <w:trPr>
          <w:trHeight w:val="1268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color w:val="000000"/>
                <w:sz w:val="22"/>
                <w:szCs w:val="22"/>
                <w:lang w:val="vi-VN"/>
              </w:rPr>
              <w:t>STT</w:t>
            </w:r>
          </w:p>
        </w:tc>
        <w:tc>
          <w:tcPr>
            <w:tcW w:w="803" w:type="pct"/>
            <w:shd w:val="clear" w:color="auto" w:fill="auto"/>
            <w:vAlign w:val="center"/>
            <w:hideMark/>
          </w:tcPr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Danh mục hàng hóa</w:t>
            </w:r>
          </w:p>
        </w:tc>
        <w:tc>
          <w:tcPr>
            <w:tcW w:w="744" w:type="pct"/>
            <w:vAlign w:val="center"/>
          </w:tcPr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>Tên</w:t>
            </w:r>
            <w:r w:rsidR="0081338C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>thương</w:t>
            </w:r>
            <w:r w:rsidR="0081338C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>mại</w:t>
            </w:r>
          </w:p>
        </w:tc>
        <w:tc>
          <w:tcPr>
            <w:tcW w:w="1110" w:type="pct"/>
            <w:vAlign w:val="center"/>
          </w:tcPr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>Thông</w:t>
            </w:r>
            <w:r w:rsidR="0081338C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>số</w:t>
            </w:r>
            <w:r w:rsidR="0081338C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>kỹ</w:t>
            </w:r>
            <w:r w:rsidR="0081338C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>thuật</w:t>
            </w:r>
          </w:p>
        </w:tc>
        <w:tc>
          <w:tcPr>
            <w:tcW w:w="524" w:type="pct"/>
            <w:vAlign w:val="center"/>
          </w:tcPr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Đơn vị tính</w:t>
            </w:r>
          </w:p>
        </w:tc>
        <w:tc>
          <w:tcPr>
            <w:tcW w:w="370" w:type="pct"/>
            <w:vAlign w:val="center"/>
          </w:tcPr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Số lượng</w:t>
            </w:r>
          </w:p>
        </w:tc>
        <w:tc>
          <w:tcPr>
            <w:tcW w:w="400" w:type="pct"/>
            <w:vAlign w:val="center"/>
          </w:tcPr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Hãng/ Nước sản xuất</w:t>
            </w:r>
          </w:p>
        </w:tc>
        <w:tc>
          <w:tcPr>
            <w:tcW w:w="401" w:type="pct"/>
            <w:vAlign w:val="center"/>
          </w:tcPr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Đơn giá</w:t>
            </w:r>
          </w:p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(VNĐ)</w:t>
            </w:r>
          </w:p>
        </w:tc>
        <w:tc>
          <w:tcPr>
            <w:tcW w:w="401" w:type="pct"/>
            <w:vAlign w:val="center"/>
          </w:tcPr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Thành tiền</w:t>
            </w:r>
          </w:p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(VNĐ)</w:t>
            </w:r>
          </w:p>
        </w:tc>
      </w:tr>
      <w:tr w:rsidR="0081338C" w:rsidRPr="00C7570C" w:rsidTr="0081338C">
        <w:trPr>
          <w:trHeight w:val="611"/>
        </w:trPr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70C" w:rsidRPr="00C7570C" w:rsidRDefault="00C7570C" w:rsidP="00C7570C">
            <w:pPr>
              <w:spacing w:after="200"/>
              <w:rPr>
                <w:rFonts w:eastAsia="Arial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C7570C" w:rsidRPr="00C7570C" w:rsidRDefault="00C7570C" w:rsidP="00C7570C">
            <w:pPr>
              <w:spacing w:after="200"/>
              <w:rPr>
                <w:rFonts w:eastAsia="Arial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</w:tcPr>
          <w:p w:rsidR="00C7570C" w:rsidRPr="00C7570C" w:rsidRDefault="00C7570C" w:rsidP="00C7570C">
            <w:pPr>
              <w:spacing w:after="200"/>
              <w:rPr>
                <w:rFonts w:eastAsia="Arial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:rsidR="00C7570C" w:rsidRPr="00C7570C" w:rsidRDefault="00C7570C" w:rsidP="00C7570C">
            <w:pPr>
              <w:spacing w:after="200"/>
              <w:jc w:val="center"/>
              <w:rPr>
                <w:rFonts w:eastAsia="Arial"/>
                <w:bCs/>
                <w:color w:val="auto"/>
                <w:sz w:val="22"/>
                <w:szCs w:val="22"/>
                <w:lang w:val="vi-VN"/>
              </w:rPr>
            </w:pPr>
          </w:p>
        </w:tc>
      </w:tr>
      <w:tr w:rsidR="00C7570C" w:rsidRPr="00C7570C" w:rsidTr="0081338C">
        <w:trPr>
          <w:trHeight w:val="611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70C" w:rsidRPr="00C7570C" w:rsidRDefault="00C7570C" w:rsidP="00C7570C">
            <w:pPr>
              <w:spacing w:after="200" w:line="276" w:lineRule="auto"/>
              <w:ind w:left="720"/>
              <w:rPr>
                <w:rFonts w:eastAsia="Arial"/>
                <w:b/>
                <w:color w:val="auto"/>
                <w:sz w:val="24"/>
                <w:szCs w:val="24"/>
              </w:rPr>
            </w:pPr>
            <w:r w:rsidRPr="00C7570C">
              <w:rPr>
                <w:rFonts w:eastAsia="Arial"/>
                <w:b/>
                <w:color w:val="auto"/>
                <w:sz w:val="24"/>
                <w:szCs w:val="24"/>
                <w:lang w:val="vi-VN"/>
              </w:rPr>
              <w:t>Bằng chữ: ............................................. ./.</w:t>
            </w:r>
          </w:p>
          <w:p w:rsidR="00C7570C" w:rsidRPr="00C7570C" w:rsidRDefault="00C7570C" w:rsidP="0081338C">
            <w:pPr>
              <w:numPr>
                <w:ilvl w:val="0"/>
                <w:numId w:val="4"/>
              </w:numPr>
              <w:spacing w:after="80"/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</w:pP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  <w:t>Báo giá đã bao gồm</w:t>
            </w: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cácloại</w:t>
            </w: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  <w:t>thuế, phí, lệ phí (nếu có), chi phí vận chuyển,</w:t>
            </w:r>
            <w:r w:rsidR="0081338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nhân</w:t>
            </w:r>
            <w:r w:rsidR="0081338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công</w:t>
            </w:r>
            <w:r w:rsidR="0081338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lắp</w:t>
            </w:r>
            <w:r w:rsidR="0081338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đặ</w:t>
            </w:r>
            <w:r w:rsidR="0081338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thay</w:t>
            </w:r>
            <w:r w:rsidR="0081338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thế,</w:t>
            </w: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  <w:t>... bên mua không phải trả bất kỳ một chi phí nào thêm.</w:t>
            </w:r>
          </w:p>
          <w:p w:rsidR="00C7570C" w:rsidRPr="00C7570C" w:rsidRDefault="00C7570C" w:rsidP="0081338C">
            <w:pPr>
              <w:numPr>
                <w:ilvl w:val="0"/>
                <w:numId w:val="4"/>
              </w:numPr>
              <w:spacing w:after="80"/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</w:pP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  <w:t>Chất lượng hàng hóa mới 100%.</w:t>
            </w:r>
          </w:p>
          <w:p w:rsidR="00C7570C" w:rsidRPr="00C7570C" w:rsidRDefault="00C7570C" w:rsidP="0081338C">
            <w:pPr>
              <w:numPr>
                <w:ilvl w:val="0"/>
                <w:numId w:val="4"/>
              </w:numPr>
              <w:spacing w:after="80"/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</w:pP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  <w:t>Hàng hóa bàn giao tại đơn vị sử dụng.</w:t>
            </w:r>
          </w:p>
          <w:p w:rsidR="00C7570C" w:rsidRPr="00C7570C" w:rsidRDefault="00C7570C" w:rsidP="0081338C">
            <w:pPr>
              <w:numPr>
                <w:ilvl w:val="0"/>
                <w:numId w:val="4"/>
              </w:numPr>
              <w:spacing w:after="80"/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</w:pP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  <w:t>Hiệu lực báo giá: 60 ngày kể từ ngày ký.</w:t>
            </w:r>
          </w:p>
          <w:p w:rsidR="00C7570C" w:rsidRPr="00C7570C" w:rsidRDefault="00C7570C" w:rsidP="0081338C">
            <w:pPr>
              <w:numPr>
                <w:ilvl w:val="0"/>
                <w:numId w:val="4"/>
              </w:numPr>
              <w:spacing w:after="80"/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</w:pP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  <w:t>Bảo hành (đối với TTB): Theo tiêu chuẩn nhà sản xuất (………tháng).</w:t>
            </w:r>
          </w:p>
          <w:p w:rsidR="00C7570C" w:rsidRPr="00C7570C" w:rsidRDefault="00C7570C" w:rsidP="0081338C">
            <w:pPr>
              <w:keepNext/>
              <w:widowControl w:val="0"/>
              <w:tabs>
                <w:tab w:val="left" w:pos="14580"/>
              </w:tabs>
              <w:spacing w:line="360" w:lineRule="auto"/>
              <w:jc w:val="right"/>
              <w:rPr>
                <w:b/>
                <w:color w:val="auto"/>
                <w:sz w:val="24"/>
                <w:szCs w:val="24"/>
                <w:lang w:val="es-ES"/>
              </w:rPr>
            </w:pPr>
            <w:r w:rsidRPr="00C7570C">
              <w:rPr>
                <w:b/>
                <w:color w:val="auto"/>
                <w:sz w:val="24"/>
                <w:szCs w:val="24"/>
                <w:lang w:val="es-ES"/>
              </w:rPr>
              <w:t>Ngày ……tháng……năm 2023</w:t>
            </w:r>
          </w:p>
          <w:p w:rsidR="00C7570C" w:rsidRPr="00C7570C" w:rsidRDefault="00C7570C" w:rsidP="0081338C">
            <w:pPr>
              <w:tabs>
                <w:tab w:val="left" w:pos="14580"/>
              </w:tabs>
              <w:spacing w:after="200"/>
              <w:jc w:val="center"/>
              <w:rPr>
                <w:rFonts w:eastAsia="Arial"/>
                <w:bCs/>
                <w:color w:val="auto"/>
                <w:sz w:val="22"/>
                <w:szCs w:val="22"/>
                <w:lang w:val="vi-VN"/>
              </w:rPr>
            </w:pPr>
            <w:r w:rsidRPr="00C7570C">
              <w:rPr>
                <w:b/>
                <w:color w:val="auto"/>
                <w:sz w:val="24"/>
                <w:szCs w:val="24"/>
                <w:lang w:val="es-ES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81338C">
              <w:rPr>
                <w:b/>
                <w:color w:val="auto"/>
                <w:sz w:val="24"/>
                <w:szCs w:val="24"/>
                <w:lang w:val="es-ES"/>
              </w:rPr>
              <w:t xml:space="preserve">                   </w:t>
            </w:r>
            <w:r w:rsidRPr="00C7570C">
              <w:rPr>
                <w:b/>
                <w:color w:val="auto"/>
                <w:sz w:val="24"/>
                <w:szCs w:val="24"/>
                <w:lang w:val="es-ES"/>
              </w:rPr>
              <w:t xml:space="preserve"> ĐẠI DIỆN ĐƠN VỊ BÁO GIÁ</w:t>
            </w:r>
          </w:p>
        </w:tc>
      </w:tr>
    </w:tbl>
    <w:p w:rsidR="00C7570C" w:rsidRPr="0081338C" w:rsidRDefault="00C7570C" w:rsidP="00C7570C">
      <w:pPr>
        <w:spacing w:after="200" w:line="276" w:lineRule="auto"/>
        <w:rPr>
          <w:rFonts w:eastAsia="Arial"/>
          <w:color w:val="auto"/>
          <w:szCs w:val="22"/>
        </w:rPr>
        <w:sectPr w:rsidR="00C7570C" w:rsidRPr="0081338C" w:rsidSect="00DB49D9">
          <w:pgSz w:w="16838" w:h="11906" w:orient="landscape"/>
          <w:pgMar w:top="709" w:right="249" w:bottom="851" w:left="1276" w:header="709" w:footer="0" w:gutter="0"/>
          <w:cols w:space="708"/>
          <w:docGrid w:linePitch="360"/>
        </w:sectPr>
      </w:pPr>
    </w:p>
    <w:p w:rsidR="00C7570C" w:rsidRPr="00EE324E" w:rsidRDefault="00C7570C" w:rsidP="0081338C">
      <w:pPr>
        <w:rPr>
          <w:color w:val="auto"/>
        </w:rPr>
      </w:pPr>
    </w:p>
    <w:sectPr w:rsidR="00C7570C" w:rsidRPr="00EE324E" w:rsidSect="00007AA9">
      <w:pgSz w:w="16834" w:h="11909" w:orient="landscape" w:code="9"/>
      <w:pgMar w:top="709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97296"/>
    <w:multiLevelType w:val="hybridMultilevel"/>
    <w:tmpl w:val="2B049324"/>
    <w:lvl w:ilvl="0" w:tplc="8D7C6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502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>
    <w:nsid w:val="74286DD9"/>
    <w:multiLevelType w:val="hybridMultilevel"/>
    <w:tmpl w:val="3D9845FE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0300C"/>
    <w:rsid w:val="00007AA9"/>
    <w:rsid w:val="000B4B40"/>
    <w:rsid w:val="00104954"/>
    <w:rsid w:val="00117D8B"/>
    <w:rsid w:val="001C7EDC"/>
    <w:rsid w:val="00257A97"/>
    <w:rsid w:val="002637EF"/>
    <w:rsid w:val="00396285"/>
    <w:rsid w:val="003B750C"/>
    <w:rsid w:val="00475B86"/>
    <w:rsid w:val="00496FE4"/>
    <w:rsid w:val="004C54D4"/>
    <w:rsid w:val="005D2B9F"/>
    <w:rsid w:val="005E16E7"/>
    <w:rsid w:val="006664D1"/>
    <w:rsid w:val="0070300C"/>
    <w:rsid w:val="00734B01"/>
    <w:rsid w:val="0073549A"/>
    <w:rsid w:val="00745F5B"/>
    <w:rsid w:val="007A52DF"/>
    <w:rsid w:val="0081338C"/>
    <w:rsid w:val="00970EC0"/>
    <w:rsid w:val="009D0F8D"/>
    <w:rsid w:val="00A50CFF"/>
    <w:rsid w:val="00AE56F4"/>
    <w:rsid w:val="00B96D6F"/>
    <w:rsid w:val="00BE1014"/>
    <w:rsid w:val="00C7570C"/>
    <w:rsid w:val="00D01D28"/>
    <w:rsid w:val="00D350CF"/>
    <w:rsid w:val="00DB6A8E"/>
    <w:rsid w:val="00E324D5"/>
    <w:rsid w:val="00E411F1"/>
    <w:rsid w:val="00EB7948"/>
    <w:rsid w:val="00EE324E"/>
    <w:rsid w:val="00F22F0A"/>
    <w:rsid w:val="00F4043B"/>
    <w:rsid w:val="00F77021"/>
    <w:rsid w:val="00FD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0C"/>
    <w:pPr>
      <w:spacing w:after="0" w:line="240" w:lineRule="auto"/>
    </w:pPr>
    <w:rPr>
      <w:rFonts w:eastAsia="Times New Roman" w:cs="Times New Roman"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30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300C"/>
    <w:pPr>
      <w:ind w:left="720"/>
      <w:contextualSpacing/>
    </w:pPr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D8B"/>
    <w:rPr>
      <w:rFonts w:ascii="Segoe UI" w:eastAsia="Times New Roman" w:hAnsi="Segoe UI" w:cs="Segoe UI"/>
      <w:color w:val="0000FF"/>
      <w:sz w:val="18"/>
      <w:szCs w:val="18"/>
    </w:rPr>
  </w:style>
  <w:style w:type="table" w:styleId="TableGrid">
    <w:name w:val="Table Grid"/>
    <w:basedOn w:val="TableNormal"/>
    <w:uiPriority w:val="59"/>
    <w:rsid w:val="00C7570C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vdkbacnin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CAD33-ED6E-43FE-9B91-FEEB7A5B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phanthithuhien.1996@gmail.com</cp:lastModifiedBy>
  <cp:revision>2</cp:revision>
  <cp:lastPrinted>2023-03-29T07:19:00Z</cp:lastPrinted>
  <dcterms:created xsi:type="dcterms:W3CDTF">2023-04-20T07:15:00Z</dcterms:created>
  <dcterms:modified xsi:type="dcterms:W3CDTF">2023-04-20T07:15:00Z</dcterms:modified>
</cp:coreProperties>
</file>