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0" w:line="240" w:lineRule="auto"/>
        <w:jc w:val="center"/>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655F6F65">
      <w:pPr>
        <w:spacing w:after="60" w:line="240" w:lineRule="auto"/>
        <w:jc w:val="center"/>
        <w:rPr>
          <w:rFonts w:cs="Times New Roman"/>
          <w:b/>
          <w:color w:val="000000" w:themeColor="text1"/>
          <w:szCs w:val="28"/>
          <w:lang w:val="sv-SE"/>
          <w14:textFill>
            <w14:solidFill>
              <w14:schemeClr w14:val="tx1"/>
            </w14:solidFill>
          </w14:textFill>
        </w:rPr>
      </w:pPr>
      <w:r>
        <w:rPr>
          <w:rFonts w:cs="Times New Roman"/>
          <w:b/>
          <w:color w:val="000000" w:themeColor="text1"/>
          <w:szCs w:val="28"/>
          <w:lang w:val="sv-SE"/>
          <w14:textFill>
            <w14:solidFill>
              <w14:schemeClr w14:val="tx1"/>
            </w14:solidFill>
          </w14:textFill>
        </w:rPr>
        <w:t xml:space="preserve">Mua sắm lưu điện 10KVA online cho phòng máy chủ </w:t>
      </w:r>
    </w:p>
    <w:p w14:paraId="457D834D">
      <w:pPr>
        <w:spacing w:after="60" w:line="240" w:lineRule="auto"/>
        <w:jc w:val="center"/>
        <w:rPr>
          <w:i/>
          <w:szCs w:val="28"/>
          <w:lang w:val="en-US"/>
        </w:rPr>
      </w:pPr>
      <w:r>
        <w:rPr>
          <w:bCs/>
          <w:i/>
          <w:color w:val="000000" w:themeColor="text1"/>
          <w:lang w:val="en-US"/>
          <w14:textFill>
            <w14:solidFill>
              <w14:schemeClr w14:val="tx1"/>
            </w14:solidFill>
          </w14:textFill>
        </w:rPr>
        <w:t xml:space="preserve">(kèm theo Yêu cầu báo giá số </w:t>
      </w:r>
      <w:r>
        <w:rPr>
          <w:i/>
          <w:color w:val="000000" w:themeColor="text1"/>
          <w:sz w:val="26"/>
          <w:lang w:val="en-US"/>
          <w14:textFill>
            <w14:solidFill>
              <w14:schemeClr w14:val="tx1"/>
            </w14:solidFill>
          </w14:textFill>
        </w:rPr>
        <w:t>9473</w:t>
      </w:r>
      <w:r>
        <w:rPr>
          <w:i/>
          <w:color w:val="000000" w:themeColor="text1"/>
          <w:sz w:val="26"/>
          <w:szCs w:val="26"/>
          <w14:textFill>
            <w14:solidFill>
              <w14:schemeClr w14:val="tx1"/>
            </w14:solidFill>
          </w14:textFill>
        </w:rPr>
        <w:t>/</w:t>
      </w:r>
      <w:r>
        <w:rPr>
          <w:i/>
          <w:color w:val="000000" w:themeColor="text1"/>
          <w:sz w:val="26"/>
          <w:szCs w:val="26"/>
          <w:lang w:val="en-US"/>
          <w14:textFill>
            <w14:solidFill>
              <w14:schemeClr w14:val="tx1"/>
            </w14:solidFill>
          </w14:textFill>
        </w:rPr>
        <w:t>YCBG</w:t>
      </w:r>
      <w:r>
        <w:rPr>
          <w:i/>
          <w:color w:val="000000" w:themeColor="text1"/>
          <w:sz w:val="26"/>
          <w:szCs w:val="26"/>
          <w14:textFill>
            <w14:solidFill>
              <w14:schemeClr w14:val="tx1"/>
            </w14:solidFill>
          </w14:textFill>
        </w:rPr>
        <w:t>-BVĐKBN2</w:t>
      </w:r>
      <w:r>
        <w:rPr>
          <w:i/>
          <w:color w:val="000000" w:themeColor="text1"/>
          <w:sz w:val="26"/>
          <w:szCs w:val="26"/>
          <w:lang w:val="en-US"/>
          <w14:textFill>
            <w14:solidFill>
              <w14:schemeClr w14:val="tx1"/>
            </w14:solidFill>
          </w14:textFill>
        </w:rPr>
        <w:t xml:space="preserve"> ngày 05/10/2026)</w:t>
      </w:r>
    </w:p>
    <w:p w14:paraId="020D6CC6">
      <w:pPr>
        <w:spacing w:after="60" w:line="240" w:lineRule="auto"/>
        <w:rPr>
          <w:i/>
          <w:szCs w:val="28"/>
          <w:lang w:val="en-US"/>
        </w:rPr>
      </w:pPr>
    </w:p>
    <w:tbl>
      <w:tblPr>
        <w:tblStyle w:val="4"/>
        <w:tblW w:w="4767" w:type="pct"/>
        <w:jc w:val="center"/>
        <w:tblLayout w:type="autofit"/>
        <w:tblCellMar>
          <w:top w:w="0" w:type="dxa"/>
          <w:left w:w="108" w:type="dxa"/>
          <w:bottom w:w="0" w:type="dxa"/>
          <w:right w:w="108" w:type="dxa"/>
        </w:tblCellMar>
      </w:tblPr>
      <w:tblGrid>
        <w:gridCol w:w="708"/>
        <w:gridCol w:w="1468"/>
        <w:gridCol w:w="8688"/>
        <w:gridCol w:w="834"/>
        <w:gridCol w:w="863"/>
        <w:gridCol w:w="995"/>
      </w:tblGrid>
      <w:tr w14:paraId="68469885">
        <w:tblPrEx>
          <w:tblCellMar>
            <w:top w:w="0" w:type="dxa"/>
            <w:left w:w="108" w:type="dxa"/>
            <w:bottom w:w="0" w:type="dxa"/>
            <w:right w:w="108" w:type="dxa"/>
          </w:tblCellMar>
        </w:tblPrEx>
        <w:trPr>
          <w:trHeight w:val="867" w:hRule="atLeast"/>
          <w:jc w:val="center"/>
        </w:trPr>
        <w:tc>
          <w:tcPr>
            <w:tcW w:w="233" w:type="pct"/>
            <w:tcBorders>
              <w:top w:val="single" w:color="auto" w:sz="4" w:space="0"/>
              <w:left w:val="single" w:color="auto" w:sz="4" w:space="0"/>
              <w:bottom w:val="single" w:color="auto" w:sz="4" w:space="0"/>
              <w:right w:val="single" w:color="auto" w:sz="4" w:space="0"/>
            </w:tcBorders>
            <w:vAlign w:val="center"/>
          </w:tcPr>
          <w:p w14:paraId="29A10661">
            <w:pPr>
              <w:spacing w:after="120" w:line="240" w:lineRule="auto"/>
              <w:jc w:val="center"/>
              <w:rPr>
                <w:b/>
                <w:sz w:val="26"/>
                <w:szCs w:val="26"/>
              </w:rPr>
            </w:pPr>
            <w:r>
              <w:rPr>
                <w:b/>
                <w:sz w:val="26"/>
                <w:szCs w:val="26"/>
              </w:rPr>
              <w:t>STT</w:t>
            </w:r>
          </w:p>
        </w:tc>
        <w:tc>
          <w:tcPr>
            <w:tcW w:w="561" w:type="pct"/>
            <w:tcBorders>
              <w:top w:val="single" w:color="auto" w:sz="4" w:space="0"/>
              <w:left w:val="single" w:color="auto" w:sz="4" w:space="0"/>
              <w:bottom w:val="single" w:color="auto" w:sz="4" w:space="0"/>
              <w:right w:val="single" w:color="auto" w:sz="4" w:space="0"/>
            </w:tcBorders>
            <w:vAlign w:val="center"/>
          </w:tcPr>
          <w:p w14:paraId="217E744F">
            <w:pPr>
              <w:spacing w:after="120" w:line="240" w:lineRule="auto"/>
              <w:jc w:val="center"/>
              <w:rPr>
                <w:b/>
                <w:sz w:val="26"/>
                <w:szCs w:val="26"/>
              </w:rPr>
            </w:pPr>
            <w:r>
              <w:rPr>
                <w:b/>
                <w:sz w:val="26"/>
                <w:szCs w:val="26"/>
              </w:rPr>
              <w:t>Danh mục hàng hóa</w:t>
            </w:r>
          </w:p>
        </w:tc>
        <w:tc>
          <w:tcPr>
            <w:tcW w:w="3224" w:type="pct"/>
            <w:tcBorders>
              <w:top w:val="single" w:color="auto" w:sz="4" w:space="0"/>
              <w:left w:val="single" w:color="auto" w:sz="4" w:space="0"/>
              <w:bottom w:val="single" w:color="auto" w:sz="4" w:space="0"/>
              <w:right w:val="single" w:color="auto" w:sz="4" w:space="0"/>
            </w:tcBorders>
            <w:vAlign w:val="center"/>
          </w:tcPr>
          <w:p w14:paraId="0B40AF9A">
            <w:pPr>
              <w:spacing w:after="120" w:line="240" w:lineRule="auto"/>
              <w:jc w:val="center"/>
              <w:rPr>
                <w:b/>
                <w:sz w:val="26"/>
                <w:szCs w:val="26"/>
              </w:rPr>
            </w:pPr>
            <w:r>
              <w:rPr>
                <w:b/>
                <w:sz w:val="26"/>
                <w:szCs w:val="26"/>
              </w:rPr>
              <w:t>Yêu cầu về tính năng, yêu cầu kỹ thuật</w:t>
            </w:r>
          </w:p>
        </w:tc>
        <w:tc>
          <w:tcPr>
            <w:tcW w:w="327" w:type="pct"/>
            <w:tcBorders>
              <w:top w:val="single" w:color="auto" w:sz="4" w:space="0"/>
              <w:left w:val="single" w:color="auto" w:sz="4" w:space="0"/>
              <w:bottom w:val="single" w:color="auto" w:sz="4" w:space="0"/>
              <w:right w:val="single" w:color="auto" w:sz="4" w:space="0"/>
            </w:tcBorders>
            <w:vAlign w:val="center"/>
          </w:tcPr>
          <w:p w14:paraId="4B9D6390">
            <w:pPr>
              <w:spacing w:after="120" w:line="240" w:lineRule="auto"/>
              <w:jc w:val="center"/>
              <w:rPr>
                <w:b/>
                <w:sz w:val="26"/>
                <w:szCs w:val="26"/>
              </w:rPr>
            </w:pPr>
            <w:r>
              <w:rPr>
                <w:b/>
                <w:sz w:val="26"/>
                <w:szCs w:val="26"/>
              </w:rPr>
              <w:t>Đơn vị tính</w:t>
            </w:r>
          </w:p>
        </w:tc>
        <w:tc>
          <w:tcPr>
            <w:tcW w:w="269" w:type="pct"/>
            <w:tcBorders>
              <w:top w:val="single" w:color="auto" w:sz="4" w:space="0"/>
              <w:left w:val="single" w:color="auto" w:sz="4" w:space="0"/>
              <w:bottom w:val="single" w:color="auto" w:sz="4" w:space="0"/>
              <w:right w:val="single" w:color="auto" w:sz="4" w:space="0"/>
            </w:tcBorders>
            <w:vAlign w:val="center"/>
          </w:tcPr>
          <w:p w14:paraId="70016320">
            <w:pPr>
              <w:spacing w:after="120" w:line="240" w:lineRule="auto"/>
              <w:jc w:val="center"/>
              <w:rPr>
                <w:b/>
                <w:sz w:val="26"/>
                <w:szCs w:val="26"/>
              </w:rPr>
            </w:pPr>
            <w:r>
              <w:rPr>
                <w:b/>
                <w:sz w:val="26"/>
                <w:szCs w:val="26"/>
              </w:rPr>
              <w:t>Số lượng</w:t>
            </w:r>
          </w:p>
        </w:tc>
        <w:tc>
          <w:tcPr>
            <w:tcW w:w="386" w:type="pct"/>
            <w:tcBorders>
              <w:top w:val="single" w:color="auto" w:sz="4" w:space="0"/>
              <w:left w:val="single" w:color="auto" w:sz="4" w:space="0"/>
              <w:bottom w:val="single" w:color="auto" w:sz="4" w:space="0"/>
              <w:right w:val="single" w:color="auto" w:sz="4" w:space="0"/>
            </w:tcBorders>
            <w:vAlign w:val="center"/>
          </w:tcPr>
          <w:p w14:paraId="0044BE56">
            <w:pPr>
              <w:spacing w:after="120" w:line="240" w:lineRule="auto"/>
              <w:jc w:val="center"/>
              <w:rPr>
                <w:b/>
                <w:sz w:val="26"/>
                <w:szCs w:val="26"/>
              </w:rPr>
            </w:pPr>
            <w:r>
              <w:rPr>
                <w:b/>
                <w:sz w:val="26"/>
                <w:szCs w:val="26"/>
              </w:rPr>
              <w:t>Ghi chú</w:t>
            </w:r>
          </w:p>
        </w:tc>
      </w:tr>
      <w:tr w14:paraId="7E77740E">
        <w:tblPrEx>
          <w:tblCellMar>
            <w:top w:w="0" w:type="dxa"/>
            <w:left w:w="108" w:type="dxa"/>
            <w:bottom w:w="0" w:type="dxa"/>
            <w:right w:w="108" w:type="dxa"/>
          </w:tblCellMar>
        </w:tblPrEx>
        <w:trPr>
          <w:trHeight w:val="2259" w:hRule="atLeast"/>
          <w:jc w:val="center"/>
        </w:trPr>
        <w:tc>
          <w:tcPr>
            <w:tcW w:w="233" w:type="pct"/>
            <w:tcBorders>
              <w:top w:val="single" w:color="auto" w:sz="4" w:space="0"/>
              <w:left w:val="single" w:color="auto" w:sz="4" w:space="0"/>
              <w:bottom w:val="single" w:color="auto" w:sz="4" w:space="0"/>
              <w:right w:val="single" w:color="auto" w:sz="4" w:space="0"/>
            </w:tcBorders>
            <w:vAlign w:val="center"/>
          </w:tcPr>
          <w:p w14:paraId="775617C2">
            <w:pPr>
              <w:spacing w:after="120" w:line="240" w:lineRule="auto"/>
              <w:jc w:val="center"/>
              <w:rPr>
                <w:sz w:val="26"/>
                <w:szCs w:val="26"/>
              </w:rPr>
            </w:pPr>
            <w:r>
              <w:rPr>
                <w:sz w:val="26"/>
                <w:szCs w:val="26"/>
              </w:rPr>
              <w:t>1</w:t>
            </w:r>
          </w:p>
        </w:tc>
        <w:tc>
          <w:tcPr>
            <w:tcW w:w="561" w:type="pct"/>
            <w:tcBorders>
              <w:top w:val="single" w:color="auto" w:sz="4" w:space="0"/>
              <w:left w:val="single" w:color="auto" w:sz="4" w:space="0"/>
              <w:bottom w:val="single" w:color="auto" w:sz="4" w:space="0"/>
              <w:right w:val="single" w:color="auto" w:sz="4" w:space="0"/>
            </w:tcBorders>
            <w:vAlign w:val="center"/>
          </w:tcPr>
          <w:p w14:paraId="3CDA55DA">
            <w:pPr>
              <w:spacing w:after="120" w:line="240" w:lineRule="auto"/>
              <w:jc w:val="center"/>
              <w:rPr>
                <w:sz w:val="26"/>
                <w:szCs w:val="26"/>
              </w:rPr>
            </w:pPr>
            <w:r>
              <w:rPr>
                <w:sz w:val="26"/>
                <w:szCs w:val="26"/>
              </w:rPr>
              <w:t>Bộ lưu điện 10KVA online</w:t>
            </w:r>
          </w:p>
        </w:tc>
        <w:tc>
          <w:tcPr>
            <w:tcW w:w="3224" w:type="pct"/>
            <w:tcBorders>
              <w:top w:val="single" w:color="auto" w:sz="4" w:space="0"/>
              <w:left w:val="single" w:color="auto" w:sz="4" w:space="0"/>
              <w:bottom w:val="single" w:color="auto" w:sz="4" w:space="0"/>
              <w:right w:val="single" w:color="auto" w:sz="4" w:space="0"/>
            </w:tcBorders>
            <w:vAlign w:val="center"/>
          </w:tcPr>
          <w:p w14:paraId="1F1C6716">
            <w:pPr>
              <w:spacing w:after="120" w:line="240" w:lineRule="auto"/>
              <w:rPr>
                <w:sz w:val="26"/>
                <w:szCs w:val="26"/>
              </w:rPr>
            </w:pPr>
          </w:p>
          <w:p w14:paraId="1FAB7722">
            <w:pPr>
              <w:spacing w:after="120" w:line="240" w:lineRule="auto"/>
              <w:rPr>
                <w:b/>
                <w:sz w:val="26"/>
                <w:szCs w:val="26"/>
              </w:rPr>
            </w:pPr>
            <w:r>
              <w:rPr>
                <w:b/>
                <w:sz w:val="26"/>
                <w:szCs w:val="26"/>
              </w:rPr>
              <w:t>Cấu hình tối thiểu:</w:t>
            </w:r>
          </w:p>
          <w:p w14:paraId="1006196A">
            <w:pPr>
              <w:spacing w:after="120" w:line="240" w:lineRule="auto"/>
              <w:rPr>
                <w:sz w:val="26"/>
                <w:szCs w:val="26"/>
              </w:rPr>
            </w:pPr>
            <w:r>
              <w:rPr>
                <w:sz w:val="26"/>
                <w:szCs w:val="26"/>
              </w:rPr>
              <w:t>- Bộ lưu điện bao gồm 01 UPS RACK 10K và 01 RACK 10KS EBM – module acquy tiêu chuẩn cho UPS RACK 10K.</w:t>
            </w:r>
          </w:p>
          <w:p w14:paraId="5509A49D">
            <w:pPr>
              <w:spacing w:after="120" w:line="240" w:lineRule="auto"/>
              <w:rPr>
                <w:b/>
                <w:sz w:val="26"/>
                <w:szCs w:val="26"/>
              </w:rPr>
            </w:pPr>
            <w:r>
              <w:rPr>
                <w:b/>
                <w:sz w:val="26"/>
                <w:szCs w:val="26"/>
              </w:rPr>
              <w:t>01 UPS RACK 10K</w:t>
            </w:r>
          </w:p>
          <w:p w14:paraId="6DFD0235">
            <w:pPr>
              <w:spacing w:after="120" w:line="240" w:lineRule="auto"/>
              <w:rPr>
                <w:sz w:val="26"/>
                <w:szCs w:val="26"/>
              </w:rPr>
            </w:pPr>
            <w:r>
              <w:rPr>
                <w:sz w:val="26"/>
                <w:szCs w:val="26"/>
              </w:rPr>
              <w:t xml:space="preserve">- Thiết kế UPS Online Double Conversion Rackmount, </w:t>
            </w:r>
            <w:r>
              <w:rPr>
                <w:sz w:val="26"/>
                <w:szCs w:val="26"/>
                <w:lang w:val="en-US"/>
              </w:rPr>
              <w:t xml:space="preserve">thiết kế rackmount </w:t>
            </w:r>
            <w:r>
              <w:rPr>
                <w:sz w:val="26"/>
                <w:szCs w:val="26"/>
              </w:rPr>
              <w:t xml:space="preserve">tương thích tủ rack tiêu chuẩn 19 inch; </w:t>
            </w:r>
          </w:p>
          <w:p w14:paraId="1E4AB007">
            <w:pPr>
              <w:spacing w:after="120" w:line="240" w:lineRule="auto"/>
              <w:rPr>
                <w:sz w:val="26"/>
                <w:szCs w:val="26"/>
              </w:rPr>
            </w:pPr>
            <w:r>
              <w:rPr>
                <w:sz w:val="26"/>
                <w:szCs w:val="26"/>
              </w:rPr>
              <w:t>- Điện áp danh định: 220 VAC.</w:t>
            </w:r>
          </w:p>
          <w:p w14:paraId="324FD14A">
            <w:pPr>
              <w:spacing w:after="120" w:line="240" w:lineRule="auto"/>
              <w:rPr>
                <w:sz w:val="26"/>
                <w:szCs w:val="26"/>
              </w:rPr>
            </w:pPr>
            <w:r>
              <w:rPr>
                <w:sz w:val="26"/>
                <w:szCs w:val="26"/>
              </w:rPr>
              <w:t>- Dải điện áp đầu vào: tối thiểu từ 110VAC đến 275VAC hoặc rộng hơn.</w:t>
            </w:r>
          </w:p>
          <w:p w14:paraId="3B1CC811">
            <w:pPr>
              <w:spacing w:after="120" w:line="240" w:lineRule="auto"/>
              <w:rPr>
                <w:sz w:val="26"/>
                <w:szCs w:val="26"/>
              </w:rPr>
            </w:pPr>
            <w:r>
              <w:rPr>
                <w:sz w:val="26"/>
                <w:szCs w:val="26"/>
              </w:rPr>
              <w:t>Dải tần số danh định: Từ 40 đến 70 Hz.</w:t>
            </w:r>
          </w:p>
          <w:p w14:paraId="5A341941">
            <w:pPr>
              <w:spacing w:after="120" w:line="240" w:lineRule="auto"/>
              <w:rPr>
                <w:sz w:val="26"/>
                <w:szCs w:val="26"/>
              </w:rPr>
            </w:pPr>
            <w:r>
              <w:rPr>
                <w:sz w:val="26"/>
                <w:szCs w:val="26"/>
              </w:rPr>
              <w:t>Hệ số công suất: PF đầu vào ≥ 0,99.</w:t>
            </w:r>
          </w:p>
          <w:p w14:paraId="1BB9ADBB">
            <w:pPr>
              <w:spacing w:after="120" w:line="240" w:lineRule="auto"/>
              <w:rPr>
                <w:sz w:val="26"/>
                <w:szCs w:val="26"/>
              </w:rPr>
            </w:pPr>
            <w:r>
              <w:rPr>
                <w:sz w:val="26"/>
                <w:szCs w:val="26"/>
              </w:rPr>
              <w:t>THDi: &lt; 3%.</w:t>
            </w:r>
          </w:p>
          <w:p w14:paraId="3D4A8D9D">
            <w:pPr>
              <w:spacing w:after="120" w:line="240" w:lineRule="auto"/>
              <w:rPr>
                <w:sz w:val="26"/>
                <w:szCs w:val="26"/>
              </w:rPr>
            </w:pPr>
            <w:r>
              <w:rPr>
                <w:sz w:val="26"/>
                <w:szCs w:val="26"/>
              </w:rPr>
              <w:t>- Nguồn điện ra:</w:t>
            </w:r>
          </w:p>
          <w:p w14:paraId="7027A017">
            <w:pPr>
              <w:spacing w:after="120" w:line="240" w:lineRule="auto"/>
              <w:rPr>
                <w:sz w:val="26"/>
                <w:szCs w:val="26"/>
              </w:rPr>
            </w:pPr>
            <w:r>
              <w:rPr>
                <w:sz w:val="26"/>
                <w:szCs w:val="26"/>
                <w:lang w:val="en-US"/>
              </w:rPr>
              <w:t xml:space="preserve">     </w:t>
            </w:r>
            <w:r>
              <w:rPr>
                <w:sz w:val="26"/>
                <w:szCs w:val="26"/>
              </w:rPr>
              <w:t xml:space="preserve">+ Công suất ≥10 </w:t>
            </w:r>
            <w:r>
              <w:rPr>
                <w:sz w:val="26"/>
                <w:szCs w:val="26"/>
                <w:lang w:val="en-US"/>
              </w:rPr>
              <w:t>K</w:t>
            </w:r>
            <w:r>
              <w:rPr>
                <w:sz w:val="26"/>
                <w:szCs w:val="26"/>
              </w:rPr>
              <w:t>VA/10</w:t>
            </w:r>
            <w:r>
              <w:rPr>
                <w:sz w:val="26"/>
                <w:szCs w:val="26"/>
                <w:lang w:val="en-US"/>
              </w:rPr>
              <w:t>K</w:t>
            </w:r>
            <w:r>
              <w:rPr>
                <w:sz w:val="26"/>
                <w:szCs w:val="26"/>
              </w:rPr>
              <w:t>W.</w:t>
            </w:r>
          </w:p>
          <w:p w14:paraId="3B358D50">
            <w:pPr>
              <w:spacing w:after="120" w:line="240" w:lineRule="auto"/>
              <w:rPr>
                <w:sz w:val="26"/>
                <w:szCs w:val="26"/>
              </w:rPr>
            </w:pPr>
            <w:r>
              <w:rPr>
                <w:sz w:val="26"/>
                <w:szCs w:val="26"/>
                <w:lang w:val="en-US"/>
              </w:rPr>
              <w:t xml:space="preserve">     </w:t>
            </w:r>
            <w:r>
              <w:rPr>
                <w:sz w:val="26"/>
                <w:szCs w:val="26"/>
              </w:rPr>
              <w:t>+ Điện áp ra: 208 (tại 90% tải)/220/230/240 VAC (Mức ổn định điện áp: ± 1%).</w:t>
            </w:r>
          </w:p>
          <w:p w14:paraId="107B12C1">
            <w:pPr>
              <w:spacing w:after="120" w:line="240" w:lineRule="auto"/>
              <w:rPr>
                <w:sz w:val="26"/>
                <w:szCs w:val="26"/>
              </w:rPr>
            </w:pPr>
            <w:r>
              <w:rPr>
                <w:sz w:val="26"/>
                <w:szCs w:val="26"/>
                <w:lang w:val="en-US"/>
              </w:rPr>
              <w:t xml:space="preserve">     </w:t>
            </w:r>
            <w:r>
              <w:rPr>
                <w:sz w:val="26"/>
                <w:szCs w:val="26"/>
              </w:rPr>
              <w:t>+ Độ biến dạng điện áp: &lt;1% với tải tuyến tính, &lt;5% với tải phi tuyến tính.</w:t>
            </w:r>
          </w:p>
          <w:p w14:paraId="5C8B1DAD">
            <w:pPr>
              <w:spacing w:after="120" w:line="240" w:lineRule="auto"/>
              <w:rPr>
                <w:sz w:val="26"/>
                <w:szCs w:val="26"/>
              </w:rPr>
            </w:pPr>
            <w:r>
              <w:rPr>
                <w:sz w:val="26"/>
                <w:szCs w:val="26"/>
                <w:lang w:val="en-US"/>
              </w:rPr>
              <w:t xml:space="preserve">     </w:t>
            </w:r>
            <w:r>
              <w:rPr>
                <w:sz w:val="26"/>
                <w:szCs w:val="26"/>
              </w:rPr>
              <w:t>+ Tần số 50/60Hz (tự động or có thể cấu hình).</w:t>
            </w:r>
          </w:p>
          <w:p w14:paraId="5FFE4C17">
            <w:pPr>
              <w:spacing w:after="120" w:line="240" w:lineRule="auto"/>
              <w:rPr>
                <w:sz w:val="26"/>
                <w:szCs w:val="26"/>
              </w:rPr>
            </w:pPr>
            <w:r>
              <w:rPr>
                <w:sz w:val="26"/>
                <w:szCs w:val="26"/>
              </w:rPr>
              <w:t xml:space="preserve">- Bảo vệ: </w:t>
            </w:r>
          </w:p>
          <w:p w14:paraId="39B9EAD1">
            <w:pPr>
              <w:spacing w:after="120" w:line="240" w:lineRule="auto"/>
              <w:rPr>
                <w:sz w:val="26"/>
                <w:szCs w:val="26"/>
              </w:rPr>
            </w:pPr>
            <w:r>
              <w:rPr>
                <w:sz w:val="26"/>
                <w:szCs w:val="26"/>
                <w:lang w:val="en-US"/>
              </w:rPr>
              <w:t xml:space="preserve">     </w:t>
            </w:r>
            <w:r>
              <w:rPr>
                <w:sz w:val="26"/>
                <w:szCs w:val="26"/>
              </w:rPr>
              <w:t>+ Hiệu suất: &gt; 98% at High Eficiency mode &gt; 95% at Line mod &gt; 93% at Battery mode.</w:t>
            </w:r>
          </w:p>
          <w:p w14:paraId="2C723350">
            <w:pPr>
              <w:spacing w:after="120" w:line="240" w:lineRule="auto"/>
              <w:rPr>
                <w:sz w:val="26"/>
                <w:szCs w:val="26"/>
                <w:lang w:val="en-GB"/>
              </w:rPr>
            </w:pPr>
            <w:r>
              <w:rPr>
                <w:sz w:val="26"/>
                <w:szCs w:val="26"/>
                <w:lang w:val="en-US"/>
              </w:rPr>
              <w:t xml:space="preserve">     </w:t>
            </w:r>
            <w:r>
              <w:rPr>
                <w:sz w:val="26"/>
                <w:szCs w:val="26"/>
              </w:rPr>
              <w:t xml:space="preserve">+ </w:t>
            </w:r>
            <w:r>
              <w:rPr>
                <w:sz w:val="26"/>
                <w:szCs w:val="26"/>
                <w:lang w:val="en-GB"/>
              </w:rPr>
              <w:t>UPS có khả năng chịu quá tải và tự động chuyển bypass/bảo vệ theo tiêu chuẩn nhà sản xuất.</w:t>
            </w:r>
          </w:p>
          <w:p w14:paraId="3427404E">
            <w:pPr>
              <w:spacing w:after="120" w:line="240" w:lineRule="auto"/>
              <w:rPr>
                <w:sz w:val="26"/>
                <w:szCs w:val="26"/>
              </w:rPr>
            </w:pPr>
            <w:r>
              <w:rPr>
                <w:sz w:val="26"/>
                <w:szCs w:val="26"/>
              </w:rPr>
              <w:t xml:space="preserve">- Có khe cắm hoặc tích hợp card quản lý mạng SNMP. </w:t>
            </w:r>
          </w:p>
          <w:p w14:paraId="60DACBAC">
            <w:pPr>
              <w:spacing w:after="120" w:line="240" w:lineRule="auto"/>
              <w:rPr>
                <w:sz w:val="26"/>
                <w:szCs w:val="26"/>
              </w:rPr>
            </w:pPr>
            <w:r>
              <w:rPr>
                <w:sz w:val="26"/>
                <w:szCs w:val="26"/>
              </w:rPr>
              <w:t xml:space="preserve">- Hỗ trợ giám sát qua Web, SNMP, Modbus TCP hoặc tương đương. </w:t>
            </w:r>
          </w:p>
          <w:p w14:paraId="44C46F6F">
            <w:pPr>
              <w:spacing w:after="120" w:line="240" w:lineRule="auto"/>
              <w:rPr>
                <w:sz w:val="26"/>
                <w:szCs w:val="26"/>
              </w:rPr>
            </w:pPr>
            <w:r>
              <w:rPr>
                <w:sz w:val="26"/>
                <w:szCs w:val="26"/>
              </w:rPr>
              <w:t>- Hỗ trợ gửi cảnh báo Email, SNMP Trap.</w:t>
            </w:r>
          </w:p>
          <w:p w14:paraId="3EF3C905">
            <w:pPr>
              <w:spacing w:after="120" w:line="240" w:lineRule="auto"/>
              <w:rPr>
                <w:b/>
                <w:sz w:val="26"/>
                <w:szCs w:val="26"/>
              </w:rPr>
            </w:pPr>
            <w:r>
              <w:rPr>
                <w:b/>
                <w:sz w:val="26"/>
                <w:szCs w:val="26"/>
              </w:rPr>
              <w:t>Acquy (01 RACK 10KS EBM – module acquy tiêu chuẩn cho UPS RACK 10K)</w:t>
            </w:r>
          </w:p>
          <w:p w14:paraId="29739A89">
            <w:pPr>
              <w:spacing w:after="120" w:line="240" w:lineRule="auto"/>
              <w:rPr>
                <w:sz w:val="26"/>
                <w:szCs w:val="26"/>
              </w:rPr>
            </w:pPr>
            <w:r>
              <w:rPr>
                <w:sz w:val="26"/>
                <w:szCs w:val="26"/>
              </w:rPr>
              <w:t>- Loại ắc qui: 12 VDC kín khí, không cần bảo dưỡng,</w:t>
            </w:r>
          </w:p>
          <w:p w14:paraId="52FC4BD1">
            <w:pPr>
              <w:spacing w:after="120" w:line="240" w:lineRule="auto"/>
              <w:rPr>
                <w:sz w:val="26"/>
                <w:szCs w:val="26"/>
              </w:rPr>
            </w:pPr>
            <w:r>
              <w:rPr>
                <w:sz w:val="26"/>
                <w:szCs w:val="26"/>
              </w:rPr>
              <w:t>- Lưu điện ≥ 5 phút cho 100% tải với tối thiểu 01 tủ acquy ngoài tiêu chuẩn (EBM – External Battery Cabinet).</w:t>
            </w:r>
          </w:p>
          <w:p w14:paraId="33F566CB">
            <w:pPr>
              <w:spacing w:after="120" w:line="240" w:lineRule="auto"/>
              <w:rPr>
                <w:sz w:val="26"/>
                <w:szCs w:val="26"/>
              </w:rPr>
            </w:pPr>
            <w:r>
              <w:rPr>
                <w:sz w:val="26"/>
                <w:szCs w:val="26"/>
              </w:rPr>
              <w:t>- Module pin mở rộng: 192 VDC (tương đương 16 bình X 12V 9Ah), có thể cấu hình từ 16-20 bình và Có thể mở rộng thêm nhiều module.</w:t>
            </w:r>
          </w:p>
          <w:p w14:paraId="687559BA">
            <w:pPr>
              <w:spacing w:after="120" w:line="240" w:lineRule="auto"/>
              <w:rPr>
                <w:sz w:val="26"/>
                <w:szCs w:val="26"/>
              </w:rPr>
            </w:pPr>
            <w:r>
              <w:rPr>
                <w:sz w:val="26"/>
                <w:szCs w:val="26"/>
              </w:rPr>
              <w:t>- Kích thước: Phù hợp lắp tủ rack 19 inch.</w:t>
            </w:r>
          </w:p>
          <w:p w14:paraId="7900288E">
            <w:pPr>
              <w:spacing w:after="120" w:line="240" w:lineRule="auto"/>
              <w:rPr>
                <w:sz w:val="26"/>
                <w:szCs w:val="26"/>
              </w:rPr>
            </w:pPr>
            <w:r>
              <w:rPr>
                <w:sz w:val="26"/>
                <w:szCs w:val="26"/>
              </w:rPr>
              <w:t>Điều kiện hoạt động:</w:t>
            </w:r>
          </w:p>
          <w:p w14:paraId="1620D6AF">
            <w:pPr>
              <w:spacing w:after="120" w:line="240" w:lineRule="auto"/>
              <w:rPr>
                <w:sz w:val="26"/>
                <w:szCs w:val="26"/>
              </w:rPr>
            </w:pPr>
            <w:r>
              <w:rPr>
                <w:sz w:val="26"/>
                <w:szCs w:val="26"/>
                <w:lang w:val="en-US"/>
              </w:rPr>
              <w:t xml:space="preserve">     </w:t>
            </w:r>
            <w:r>
              <w:rPr>
                <w:sz w:val="26"/>
                <w:szCs w:val="26"/>
              </w:rPr>
              <w:t>+ Nhiệt độ: Từ 0 đến 40 °C.</w:t>
            </w:r>
          </w:p>
          <w:p w14:paraId="04D8BE3C">
            <w:pPr>
              <w:spacing w:after="120" w:line="240" w:lineRule="auto"/>
              <w:rPr>
                <w:sz w:val="26"/>
                <w:szCs w:val="26"/>
              </w:rPr>
            </w:pPr>
            <w:r>
              <w:rPr>
                <w:sz w:val="26"/>
                <w:szCs w:val="26"/>
                <w:lang w:val="en-US"/>
              </w:rPr>
              <w:t xml:space="preserve">     </w:t>
            </w:r>
            <w:r>
              <w:rPr>
                <w:sz w:val="26"/>
                <w:szCs w:val="26"/>
              </w:rPr>
              <w:t>+ Độ ẩm: Từ 0 đến 95 % (không ngưng tụ).</w:t>
            </w:r>
          </w:p>
          <w:p w14:paraId="0A06C24A">
            <w:pPr>
              <w:spacing w:after="120" w:line="240" w:lineRule="auto"/>
              <w:rPr>
                <w:sz w:val="26"/>
                <w:szCs w:val="26"/>
                <w:lang w:val="en-GB"/>
              </w:rPr>
            </w:pPr>
            <w:r>
              <w:rPr>
                <w:sz w:val="26"/>
                <w:szCs w:val="26"/>
              </w:rPr>
              <w:t xml:space="preserve">- </w:t>
            </w:r>
            <w:r>
              <w:rPr>
                <w:sz w:val="26"/>
                <w:szCs w:val="26"/>
                <w:lang w:val="en-GB"/>
              </w:rPr>
              <w:t>Đạt tiêu chuẩn IEC/EN 62040-1, IEC/EN 62040-2, IEC/EN 62040-3 hoặc tương đương.</w:t>
            </w:r>
          </w:p>
          <w:p w14:paraId="40585717">
            <w:pPr>
              <w:spacing w:after="120" w:line="240" w:lineRule="auto"/>
              <w:rPr>
                <w:sz w:val="26"/>
                <w:szCs w:val="26"/>
                <w:lang w:val="en-GB"/>
              </w:rPr>
            </w:pPr>
            <w:r>
              <w:rPr>
                <w:sz w:val="26"/>
                <w:szCs w:val="26"/>
              </w:rPr>
              <w:t>- Bảo hành ≥ 24 tháng</w:t>
            </w:r>
            <w:r>
              <w:rPr>
                <w:sz w:val="26"/>
                <w:szCs w:val="26"/>
                <w:lang w:val="en-US"/>
              </w:rPr>
              <w:t xml:space="preserve"> hoặc theo tiêu chuẩn của nhà sản xuất.</w:t>
            </w:r>
          </w:p>
        </w:tc>
        <w:tc>
          <w:tcPr>
            <w:tcW w:w="327" w:type="pct"/>
            <w:tcBorders>
              <w:top w:val="single" w:color="auto" w:sz="4" w:space="0"/>
              <w:left w:val="single" w:color="auto" w:sz="4" w:space="0"/>
              <w:bottom w:val="single" w:color="auto" w:sz="4" w:space="0"/>
              <w:right w:val="single" w:color="auto" w:sz="4" w:space="0"/>
            </w:tcBorders>
            <w:vAlign w:val="center"/>
          </w:tcPr>
          <w:p w14:paraId="1811EEC4">
            <w:pPr>
              <w:spacing w:after="120" w:line="240" w:lineRule="auto"/>
              <w:jc w:val="center"/>
              <w:rPr>
                <w:sz w:val="26"/>
                <w:szCs w:val="26"/>
              </w:rPr>
            </w:pPr>
            <w:r>
              <w:rPr>
                <w:sz w:val="26"/>
                <w:szCs w:val="26"/>
              </w:rPr>
              <w:t>Bộ</w:t>
            </w:r>
          </w:p>
        </w:tc>
        <w:tc>
          <w:tcPr>
            <w:tcW w:w="269" w:type="pct"/>
            <w:tcBorders>
              <w:top w:val="single" w:color="auto" w:sz="4" w:space="0"/>
              <w:left w:val="single" w:color="auto" w:sz="4" w:space="0"/>
              <w:bottom w:val="single" w:color="auto" w:sz="4" w:space="0"/>
              <w:right w:val="single" w:color="auto" w:sz="4" w:space="0"/>
            </w:tcBorders>
            <w:vAlign w:val="center"/>
          </w:tcPr>
          <w:p w14:paraId="03018DC7">
            <w:pPr>
              <w:spacing w:after="120" w:line="240" w:lineRule="auto"/>
              <w:jc w:val="center"/>
              <w:rPr>
                <w:sz w:val="26"/>
                <w:szCs w:val="26"/>
              </w:rPr>
            </w:pPr>
            <w:r>
              <w:rPr>
                <w:sz w:val="26"/>
                <w:szCs w:val="26"/>
              </w:rPr>
              <w:t>01</w:t>
            </w:r>
          </w:p>
        </w:tc>
        <w:tc>
          <w:tcPr>
            <w:tcW w:w="386" w:type="pct"/>
            <w:tcBorders>
              <w:top w:val="single" w:color="auto" w:sz="4" w:space="0"/>
              <w:left w:val="single" w:color="auto" w:sz="4" w:space="0"/>
              <w:bottom w:val="single" w:color="auto" w:sz="4" w:space="0"/>
              <w:right w:val="single" w:color="auto" w:sz="4" w:space="0"/>
            </w:tcBorders>
            <w:vAlign w:val="center"/>
          </w:tcPr>
          <w:p w14:paraId="6DA8C416">
            <w:pPr>
              <w:spacing w:after="120" w:line="240" w:lineRule="auto"/>
              <w:rPr>
                <w:sz w:val="26"/>
                <w:szCs w:val="26"/>
              </w:rPr>
            </w:pPr>
          </w:p>
        </w:tc>
      </w:tr>
    </w:tbl>
    <w:p w14:paraId="75CC05BE">
      <w:pPr>
        <w:spacing w:after="60" w:line="240" w:lineRule="auto"/>
        <w:rPr>
          <w:i/>
          <w:szCs w:val="28"/>
          <w:lang w:val="en-US"/>
        </w:rPr>
      </w:pPr>
    </w:p>
    <w:p w14:paraId="79FBFD0E">
      <w:pPr>
        <w:spacing w:line="288" w:lineRule="auto"/>
        <w:rPr>
          <w:b/>
          <w:color w:val="000000" w:themeColor="text1"/>
          <w:lang w:val="en-US"/>
          <w14:textFill>
            <w14:solidFill>
              <w14:schemeClr w14:val="tx1"/>
            </w14:solidFill>
          </w14:textFill>
        </w:rPr>
      </w:pPr>
      <w:r>
        <w:rPr>
          <w:b/>
          <w:color w:val="000000" w:themeColor="text1"/>
          <w14:textFill>
            <w14:solidFill>
              <w14:schemeClr w14:val="tx1"/>
            </w14:solidFill>
          </w14:textFill>
        </w:rPr>
        <w:t xml:space="preserve">      </w:t>
      </w:r>
    </w:p>
    <w:p w14:paraId="37FDECD6">
      <w:pPr>
        <w:spacing w:line="240" w:lineRule="auto"/>
        <w:rPr>
          <w:b/>
          <w:i/>
          <w:color w:val="000000" w:themeColor="text1"/>
          <w:sz w:val="27"/>
          <w:szCs w:val="27"/>
          <w14:textFill>
            <w14:solidFill>
              <w14:schemeClr w14:val="tx1"/>
            </w14:solidFill>
          </w14:textFill>
        </w:rPr>
      </w:pPr>
      <w:bookmarkStart w:id="0" w:name="_Hlk180570931"/>
      <w:r>
        <w:rPr>
          <w:b/>
          <w:i/>
          <w:color w:val="000000" w:themeColor="text1"/>
          <w:sz w:val="27"/>
          <w:szCs w:val="27"/>
          <w14:textFill>
            <w14:solidFill>
              <w14:schemeClr w14:val="tx1"/>
            </w14:solidFill>
          </w14:textFill>
        </w:rPr>
        <w:t xml:space="preserve">Mẫu bảng báo giá </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14:textFill>
            <w14:solidFill>
              <w14:schemeClr w14:val="tx1"/>
            </w14:solidFill>
          </w14:textFill>
        </w:rPr>
      </w:pPr>
      <w:r>
        <w:rPr>
          <w:color w:val="000000" w:themeColor="text1"/>
          <w:sz w:val="27"/>
          <w:szCs w:val="27"/>
          <w14:textFill>
            <w14:solidFill>
              <w14:schemeClr w14:val="tx1"/>
            </w14:solidFill>
          </w14:textFill>
        </w:rPr>
        <w:t>Kính gửi: BỆNH VIỆN ĐA KHOA BẮC NINH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 Tỉnh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0764479E">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Công ty/ cửa hàng chúng tôi kính gửi quý Bệnh viện báo giá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hoá/dịch vụ:</w:t>
      </w:r>
    </w:p>
    <w:tbl>
      <w:tblPr>
        <w:tblStyle w:val="4"/>
        <w:tblW w:w="13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148"/>
        <w:gridCol w:w="2622"/>
        <w:gridCol w:w="889"/>
        <w:gridCol w:w="857"/>
        <w:gridCol w:w="885"/>
        <w:gridCol w:w="948"/>
        <w:gridCol w:w="947"/>
        <w:gridCol w:w="953"/>
        <w:gridCol w:w="895"/>
        <w:gridCol w:w="1024"/>
        <w:gridCol w:w="1087"/>
      </w:tblGrid>
      <w:tr w14:paraId="0A2B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738" w:type="dxa"/>
            <w:vMerge w:val="restart"/>
            <w:tcBorders>
              <w:top w:val="single" w:color="auto" w:sz="4" w:space="0"/>
              <w:left w:val="single" w:color="auto" w:sz="4" w:space="0"/>
              <w:right w:val="single" w:color="auto" w:sz="4" w:space="0"/>
            </w:tcBorders>
            <w:vAlign w:val="center"/>
          </w:tcPr>
          <w:p w14:paraId="579C4BB5">
            <w:pPr>
              <w:spacing w:after="0" w:line="240" w:lineRule="auto"/>
              <w:jc w:val="center"/>
              <w:rPr>
                <w:rFonts w:cs="Times New Roman"/>
                <w:b/>
                <w:color w:val="000000"/>
                <w:sz w:val="26"/>
                <w:szCs w:val="26"/>
              </w:rPr>
            </w:pPr>
            <w:bookmarkStart w:id="1" w:name="_Hlk180570894"/>
            <w:r>
              <w:rPr>
                <w:rFonts w:cs="Times New Roman"/>
                <w:b/>
                <w:color w:val="000000"/>
                <w:sz w:val="26"/>
                <w:szCs w:val="26"/>
              </w:rPr>
              <w:t>STT</w:t>
            </w:r>
          </w:p>
        </w:tc>
        <w:tc>
          <w:tcPr>
            <w:tcW w:w="2148" w:type="dxa"/>
            <w:vMerge w:val="restart"/>
            <w:tcBorders>
              <w:top w:val="single" w:color="auto" w:sz="4" w:space="0"/>
              <w:left w:val="single" w:color="auto" w:sz="4" w:space="0"/>
              <w:right w:val="single" w:color="auto" w:sz="4" w:space="0"/>
            </w:tcBorders>
            <w:vAlign w:val="center"/>
          </w:tcPr>
          <w:p w14:paraId="22114E2D">
            <w:pPr>
              <w:spacing w:after="0" w:line="240" w:lineRule="auto"/>
              <w:jc w:val="center"/>
              <w:rPr>
                <w:rFonts w:cs="Times New Roman"/>
                <w:b/>
                <w:color w:val="000000"/>
                <w:sz w:val="26"/>
                <w:szCs w:val="26"/>
              </w:rPr>
            </w:pPr>
            <w:r>
              <w:rPr>
                <w:rFonts w:cs="Times New Roman"/>
                <w:b/>
                <w:color w:val="000000"/>
                <w:sz w:val="26"/>
                <w:szCs w:val="26"/>
              </w:rPr>
              <w:t>Danh mục</w:t>
            </w:r>
          </w:p>
          <w:p w14:paraId="0CF0CBA6">
            <w:pPr>
              <w:spacing w:after="0" w:line="240" w:lineRule="auto"/>
              <w:jc w:val="center"/>
              <w:rPr>
                <w:rFonts w:cs="Times New Roman"/>
                <w:b/>
                <w:color w:val="000000"/>
                <w:sz w:val="26"/>
                <w:szCs w:val="26"/>
                <w:lang w:val="en-US"/>
              </w:rPr>
            </w:pPr>
            <w:r>
              <w:rPr>
                <w:rFonts w:cs="Times New Roman"/>
                <w:b/>
                <w:color w:val="000000"/>
                <w:sz w:val="26"/>
                <w:szCs w:val="26"/>
                <w:lang w:val="en-US"/>
              </w:rPr>
              <w:t>hàng hoá/dịch vụ</w:t>
            </w:r>
          </w:p>
        </w:tc>
        <w:tc>
          <w:tcPr>
            <w:tcW w:w="2622" w:type="dxa"/>
            <w:vMerge w:val="restart"/>
            <w:tcBorders>
              <w:top w:val="single" w:color="auto" w:sz="4" w:space="0"/>
              <w:left w:val="single" w:color="auto" w:sz="4" w:space="0"/>
              <w:right w:val="single" w:color="auto" w:sz="4" w:space="0"/>
            </w:tcBorders>
            <w:vAlign w:val="center"/>
          </w:tcPr>
          <w:p w14:paraId="0CC154BB">
            <w:pPr>
              <w:spacing w:after="0" w:line="240" w:lineRule="auto"/>
              <w:jc w:val="center"/>
              <w:rPr>
                <w:rFonts w:cs="Times New Roman"/>
                <w:b/>
                <w:color w:val="000000"/>
                <w:sz w:val="26"/>
                <w:szCs w:val="26"/>
                <w:lang w:val="en-US"/>
              </w:rPr>
            </w:pPr>
            <w:r>
              <w:rPr>
                <w:b/>
                <w:bCs/>
                <w:sz w:val="26"/>
                <w:szCs w:val="26"/>
                <w:lang w:val="en-US" w:eastAsia="zh-CN" w:bidi="ar"/>
              </w:rPr>
              <w:t>Đặc tính kỹ thuật/ Mô tả dịch vụ</w:t>
            </w:r>
          </w:p>
        </w:tc>
        <w:tc>
          <w:tcPr>
            <w:tcW w:w="889" w:type="dxa"/>
            <w:tcBorders>
              <w:top w:val="single" w:color="auto" w:sz="4" w:space="0"/>
              <w:left w:val="single" w:color="auto" w:sz="4" w:space="0"/>
              <w:bottom w:val="single" w:color="auto" w:sz="4" w:space="0"/>
              <w:right w:val="single" w:color="auto" w:sz="4" w:space="0"/>
            </w:tcBorders>
            <w:vAlign w:val="center"/>
          </w:tcPr>
          <w:p w14:paraId="6FDC50F7">
            <w:pPr>
              <w:spacing w:after="0" w:line="240" w:lineRule="auto"/>
              <w:jc w:val="center"/>
              <w:rPr>
                <w:rFonts w:cs="Times New Roman"/>
                <w:b/>
                <w:color w:val="000000"/>
                <w:sz w:val="26"/>
                <w:szCs w:val="26"/>
                <w:lang w:val="en-US"/>
              </w:rPr>
            </w:pPr>
            <w:r>
              <w:rPr>
                <w:rFonts w:cs="Times New Roman"/>
                <w:b/>
                <w:color w:val="000000"/>
                <w:sz w:val="26"/>
                <w:szCs w:val="26"/>
                <w:lang w:val="en-US"/>
              </w:rPr>
              <w:t>Ký mã hiệu</w:t>
            </w:r>
          </w:p>
        </w:tc>
        <w:tc>
          <w:tcPr>
            <w:tcW w:w="857" w:type="dxa"/>
            <w:tcBorders>
              <w:top w:val="single" w:color="auto" w:sz="4" w:space="0"/>
              <w:left w:val="single" w:color="auto" w:sz="4" w:space="0"/>
              <w:bottom w:val="single" w:color="auto" w:sz="4" w:space="0"/>
              <w:right w:val="single" w:color="auto" w:sz="4" w:space="0"/>
            </w:tcBorders>
            <w:vAlign w:val="center"/>
          </w:tcPr>
          <w:p w14:paraId="721AF50F">
            <w:pPr>
              <w:spacing w:after="0" w:line="240" w:lineRule="auto"/>
              <w:jc w:val="center"/>
              <w:rPr>
                <w:rFonts w:cs="Times New Roman"/>
                <w:b/>
                <w:color w:val="000000"/>
                <w:sz w:val="26"/>
                <w:szCs w:val="26"/>
                <w:lang w:val="en-US"/>
              </w:rPr>
            </w:pPr>
            <w:r>
              <w:rPr>
                <w:rFonts w:cs="Times New Roman"/>
                <w:b/>
                <w:color w:val="000000"/>
                <w:sz w:val="26"/>
                <w:szCs w:val="26"/>
                <w:lang w:val="en-US"/>
              </w:rPr>
              <w:t>Nhãn hiệu</w:t>
            </w:r>
          </w:p>
        </w:tc>
        <w:tc>
          <w:tcPr>
            <w:tcW w:w="885" w:type="dxa"/>
            <w:tcBorders>
              <w:top w:val="single" w:color="auto" w:sz="4" w:space="0"/>
              <w:left w:val="single" w:color="auto" w:sz="4" w:space="0"/>
              <w:bottom w:val="single" w:color="auto" w:sz="4" w:space="0"/>
              <w:right w:val="single" w:color="auto" w:sz="4" w:space="0"/>
            </w:tcBorders>
            <w:vAlign w:val="center"/>
          </w:tcPr>
          <w:p w14:paraId="0F383EDB">
            <w:pPr>
              <w:spacing w:after="0" w:line="240" w:lineRule="auto"/>
              <w:jc w:val="center"/>
              <w:rPr>
                <w:rFonts w:cs="Times New Roman"/>
                <w:b/>
                <w:color w:val="000000"/>
                <w:sz w:val="26"/>
                <w:szCs w:val="26"/>
                <w:lang w:val="en-US"/>
              </w:rPr>
            </w:pPr>
            <w:r>
              <w:rPr>
                <w:rFonts w:cs="Times New Roman"/>
                <w:b/>
                <w:color w:val="000000"/>
                <w:sz w:val="26"/>
                <w:szCs w:val="26"/>
                <w:lang w:val="en-US"/>
              </w:rPr>
              <w:t>Hãng sản xuất</w:t>
            </w:r>
          </w:p>
        </w:tc>
        <w:tc>
          <w:tcPr>
            <w:tcW w:w="948" w:type="dxa"/>
            <w:tcBorders>
              <w:top w:val="single" w:color="auto" w:sz="4" w:space="0"/>
              <w:left w:val="single" w:color="auto" w:sz="4" w:space="0"/>
              <w:bottom w:val="single" w:color="auto" w:sz="4" w:space="0"/>
              <w:right w:val="single" w:color="auto" w:sz="4" w:space="0"/>
            </w:tcBorders>
            <w:vAlign w:val="center"/>
          </w:tcPr>
          <w:p w14:paraId="7BD01B84">
            <w:pPr>
              <w:spacing w:after="0" w:line="240" w:lineRule="auto"/>
              <w:jc w:val="center"/>
              <w:rPr>
                <w:rFonts w:cs="Times New Roman"/>
                <w:b/>
                <w:color w:val="000000"/>
                <w:sz w:val="26"/>
                <w:szCs w:val="26"/>
                <w:lang w:val="en-US"/>
              </w:rPr>
            </w:pPr>
            <w:r>
              <w:rPr>
                <w:rFonts w:cs="Times New Roman"/>
                <w:b/>
                <w:color w:val="000000"/>
                <w:sz w:val="26"/>
                <w:szCs w:val="26"/>
                <w:lang w:val="en-US"/>
              </w:rPr>
              <w:t>Xuất xứ</w:t>
            </w:r>
          </w:p>
        </w:tc>
        <w:tc>
          <w:tcPr>
            <w:tcW w:w="947" w:type="dxa"/>
            <w:tcBorders>
              <w:top w:val="single" w:color="auto" w:sz="4" w:space="0"/>
              <w:left w:val="single" w:color="auto" w:sz="4" w:space="0"/>
              <w:bottom w:val="single" w:color="auto" w:sz="4" w:space="0"/>
              <w:right w:val="single" w:color="auto" w:sz="4" w:space="0"/>
            </w:tcBorders>
            <w:vAlign w:val="center"/>
          </w:tcPr>
          <w:p w14:paraId="79BC8D7D">
            <w:pPr>
              <w:spacing w:after="0" w:line="240" w:lineRule="auto"/>
              <w:jc w:val="center"/>
              <w:rPr>
                <w:rFonts w:cs="Times New Roman"/>
                <w:b/>
                <w:color w:val="000000"/>
                <w:sz w:val="26"/>
                <w:szCs w:val="26"/>
                <w:lang w:val="en-US"/>
              </w:rPr>
            </w:pPr>
            <w:r>
              <w:rPr>
                <w:rFonts w:cs="Times New Roman"/>
                <w:b/>
                <w:color w:val="000000"/>
                <w:sz w:val="26"/>
                <w:szCs w:val="26"/>
                <w:lang w:val="en-US"/>
              </w:rPr>
              <w:t>Năm sản xuất</w:t>
            </w:r>
          </w:p>
        </w:tc>
        <w:tc>
          <w:tcPr>
            <w:tcW w:w="953" w:type="dxa"/>
            <w:vMerge w:val="restart"/>
            <w:tcBorders>
              <w:top w:val="single" w:color="auto" w:sz="4" w:space="0"/>
              <w:left w:val="single" w:color="auto" w:sz="4" w:space="0"/>
              <w:right w:val="single" w:color="auto" w:sz="4" w:space="0"/>
            </w:tcBorders>
            <w:vAlign w:val="center"/>
          </w:tcPr>
          <w:p w14:paraId="518CDC09">
            <w:pPr>
              <w:spacing w:after="0" w:line="240" w:lineRule="auto"/>
              <w:jc w:val="center"/>
              <w:rPr>
                <w:rFonts w:cs="Times New Roman"/>
                <w:b/>
                <w:color w:val="000000"/>
                <w:sz w:val="26"/>
                <w:szCs w:val="26"/>
              </w:rPr>
            </w:pPr>
            <w:r>
              <w:rPr>
                <w:rFonts w:cs="Times New Roman"/>
                <w:b/>
                <w:color w:val="000000"/>
                <w:sz w:val="26"/>
                <w:szCs w:val="26"/>
              </w:rPr>
              <w:t>Số lượng</w:t>
            </w:r>
          </w:p>
        </w:tc>
        <w:tc>
          <w:tcPr>
            <w:tcW w:w="895" w:type="dxa"/>
            <w:vMerge w:val="restart"/>
            <w:tcBorders>
              <w:top w:val="single" w:color="auto" w:sz="4" w:space="0"/>
              <w:left w:val="single" w:color="auto" w:sz="4" w:space="0"/>
              <w:right w:val="single" w:color="auto" w:sz="4" w:space="0"/>
            </w:tcBorders>
            <w:vAlign w:val="center"/>
          </w:tcPr>
          <w:p w14:paraId="23E22734">
            <w:pPr>
              <w:spacing w:after="0" w:line="240" w:lineRule="auto"/>
              <w:jc w:val="center"/>
              <w:rPr>
                <w:rFonts w:cs="Times New Roman"/>
                <w:b/>
                <w:color w:val="000000"/>
                <w:sz w:val="26"/>
                <w:szCs w:val="26"/>
              </w:rPr>
            </w:pPr>
            <w:r>
              <w:rPr>
                <w:rFonts w:cs="Times New Roman"/>
                <w:b/>
                <w:color w:val="000000"/>
                <w:sz w:val="26"/>
                <w:szCs w:val="26"/>
              </w:rPr>
              <w:t>Đơn vị tính</w:t>
            </w:r>
          </w:p>
        </w:tc>
        <w:tc>
          <w:tcPr>
            <w:tcW w:w="1024" w:type="dxa"/>
            <w:vMerge w:val="restart"/>
            <w:tcBorders>
              <w:top w:val="single" w:color="auto" w:sz="4" w:space="0"/>
              <w:left w:val="single" w:color="auto" w:sz="4" w:space="0"/>
              <w:right w:val="single" w:color="auto" w:sz="4" w:space="0"/>
            </w:tcBorders>
            <w:vAlign w:val="center"/>
          </w:tcPr>
          <w:p w14:paraId="3606B8E1">
            <w:pPr>
              <w:spacing w:after="0" w:line="240" w:lineRule="auto"/>
              <w:jc w:val="center"/>
              <w:rPr>
                <w:rFonts w:cs="Times New Roman"/>
                <w:b/>
                <w:color w:val="000000"/>
                <w:sz w:val="26"/>
                <w:szCs w:val="26"/>
              </w:rPr>
            </w:pPr>
            <w:r>
              <w:rPr>
                <w:rFonts w:eastAsia="Times New Roman" w:cs="Times New Roman"/>
                <w:b/>
                <w:bCs/>
                <w:color w:val="000000" w:themeColor="text1"/>
                <w:sz w:val="26"/>
                <w:szCs w:val="26"/>
                <w:lang w:val="en-US"/>
                <w14:textFill>
                  <w14:solidFill>
                    <w14:schemeClr w14:val="tx1"/>
                  </w14:solidFill>
                </w14:textFill>
              </w:rPr>
              <w:t>Đơn giá (VNĐ)</w:t>
            </w:r>
          </w:p>
        </w:tc>
        <w:tc>
          <w:tcPr>
            <w:tcW w:w="1087" w:type="dxa"/>
            <w:vMerge w:val="restart"/>
            <w:tcBorders>
              <w:left w:val="single" w:color="auto" w:sz="4" w:space="0"/>
            </w:tcBorders>
            <w:vAlign w:val="center"/>
          </w:tcPr>
          <w:p w14:paraId="3AEF520D">
            <w:pPr>
              <w:spacing w:after="0" w:line="240" w:lineRule="auto"/>
              <w:jc w:val="center"/>
              <w:rPr>
                <w:rFonts w:cs="Times New Roman"/>
                <w:b/>
                <w:color w:val="000000"/>
                <w:sz w:val="26"/>
                <w:szCs w:val="26"/>
              </w:rPr>
            </w:pPr>
            <w:r>
              <w:rPr>
                <w:rFonts w:eastAsia="Times New Roman" w:cs="Times New Roman"/>
                <w:b/>
                <w:bCs/>
                <w:color w:val="000000" w:themeColor="text1"/>
                <w:sz w:val="26"/>
                <w:szCs w:val="26"/>
                <w:lang w:val="en-US"/>
                <w14:textFill>
                  <w14:solidFill>
                    <w14:schemeClr w14:val="tx1"/>
                  </w14:solidFill>
                </w14:textFill>
              </w:rPr>
              <w:t>Thành tiền</w:t>
            </w:r>
            <w:r>
              <w:rPr>
                <w:rFonts w:eastAsia="Times New Roman" w:cs="Times New Roman"/>
                <w:b/>
                <w:bCs/>
                <w:color w:val="000000" w:themeColor="text1"/>
                <w:sz w:val="26"/>
                <w:szCs w:val="26"/>
                <w:lang w:val="en-US"/>
                <w14:textFill>
                  <w14:solidFill>
                    <w14:schemeClr w14:val="tx1"/>
                  </w14:solidFill>
                </w14:textFill>
              </w:rPr>
              <w:br w:type="textWrapping"/>
            </w:r>
            <w:r>
              <w:rPr>
                <w:rFonts w:eastAsia="Times New Roman" w:cs="Times New Roman"/>
                <w:b/>
                <w:bCs/>
                <w:color w:val="000000" w:themeColor="text1"/>
                <w:sz w:val="26"/>
                <w:szCs w:val="26"/>
                <w:lang w:val="en-US"/>
                <w14:textFill>
                  <w14:solidFill>
                    <w14:schemeClr w14:val="tx1"/>
                  </w14:solidFill>
                </w14:textFill>
              </w:rPr>
              <w:t>( VND)</w:t>
            </w:r>
          </w:p>
        </w:tc>
      </w:tr>
      <w:tr w14:paraId="795D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8" w:type="dxa"/>
            <w:vMerge w:val="continue"/>
            <w:tcBorders>
              <w:left w:val="single" w:color="auto" w:sz="4" w:space="0"/>
              <w:bottom w:val="single" w:color="auto" w:sz="4" w:space="0"/>
              <w:right w:val="single" w:color="auto" w:sz="4" w:space="0"/>
            </w:tcBorders>
            <w:vAlign w:val="center"/>
          </w:tcPr>
          <w:p w14:paraId="43CED469">
            <w:pPr>
              <w:spacing w:after="0" w:line="240" w:lineRule="auto"/>
              <w:jc w:val="center"/>
              <w:rPr>
                <w:rStyle w:val="22"/>
              </w:rPr>
            </w:pPr>
          </w:p>
        </w:tc>
        <w:tc>
          <w:tcPr>
            <w:tcW w:w="2148" w:type="dxa"/>
            <w:vMerge w:val="continue"/>
            <w:tcBorders>
              <w:left w:val="single" w:color="auto" w:sz="4" w:space="0"/>
              <w:bottom w:val="single" w:color="auto" w:sz="4" w:space="0"/>
              <w:right w:val="single" w:color="auto" w:sz="4" w:space="0"/>
            </w:tcBorders>
            <w:vAlign w:val="center"/>
          </w:tcPr>
          <w:p w14:paraId="70B78BD2">
            <w:pPr>
              <w:spacing w:after="0" w:line="240" w:lineRule="auto"/>
              <w:rPr>
                <w:rFonts w:cs="Times New Roman"/>
                <w:sz w:val="26"/>
                <w:szCs w:val="26"/>
              </w:rPr>
            </w:pPr>
          </w:p>
        </w:tc>
        <w:tc>
          <w:tcPr>
            <w:tcW w:w="2622" w:type="dxa"/>
            <w:vMerge w:val="continue"/>
            <w:tcBorders>
              <w:left w:val="single" w:color="auto" w:sz="4" w:space="0"/>
              <w:bottom w:val="single" w:color="auto" w:sz="4" w:space="0"/>
              <w:right w:val="single" w:color="auto" w:sz="4" w:space="0"/>
            </w:tcBorders>
            <w:vAlign w:val="center"/>
          </w:tcPr>
          <w:p w14:paraId="4C7BE2A9">
            <w:pPr>
              <w:spacing w:after="0" w:line="240" w:lineRule="auto"/>
              <w:rPr>
                <w:rFonts w:cs="Times New Roman"/>
                <w:sz w:val="26"/>
                <w:szCs w:val="26"/>
              </w:rPr>
            </w:pPr>
          </w:p>
        </w:tc>
        <w:tc>
          <w:tcPr>
            <w:tcW w:w="4526" w:type="dxa"/>
            <w:gridSpan w:val="5"/>
            <w:tcBorders>
              <w:top w:val="single" w:color="auto" w:sz="4" w:space="0"/>
              <w:left w:val="single" w:color="auto" w:sz="4" w:space="0"/>
              <w:bottom w:val="single" w:color="auto" w:sz="4" w:space="0"/>
              <w:right w:val="single" w:color="auto" w:sz="4" w:space="0"/>
            </w:tcBorders>
          </w:tcPr>
          <w:p w14:paraId="47B35279">
            <w:pPr>
              <w:spacing w:after="0" w:line="240" w:lineRule="auto"/>
              <w:jc w:val="center"/>
              <w:rPr>
                <w:rFonts w:cs="Times New Roman"/>
                <w:i/>
                <w:sz w:val="26"/>
                <w:szCs w:val="26"/>
                <w:lang w:val="en-US"/>
              </w:rPr>
            </w:pPr>
          </w:p>
        </w:tc>
        <w:tc>
          <w:tcPr>
            <w:tcW w:w="953" w:type="dxa"/>
            <w:vMerge w:val="continue"/>
            <w:tcBorders>
              <w:left w:val="single" w:color="auto" w:sz="4" w:space="0"/>
              <w:bottom w:val="single" w:color="auto" w:sz="4" w:space="0"/>
              <w:right w:val="single" w:color="auto" w:sz="4" w:space="0"/>
            </w:tcBorders>
            <w:vAlign w:val="center"/>
          </w:tcPr>
          <w:p w14:paraId="456FC712">
            <w:pPr>
              <w:spacing w:after="0" w:line="240" w:lineRule="auto"/>
              <w:jc w:val="center"/>
              <w:rPr>
                <w:rFonts w:cs="Times New Roman"/>
                <w:sz w:val="26"/>
                <w:szCs w:val="26"/>
              </w:rPr>
            </w:pPr>
          </w:p>
        </w:tc>
        <w:tc>
          <w:tcPr>
            <w:tcW w:w="895" w:type="dxa"/>
            <w:vMerge w:val="continue"/>
            <w:tcBorders>
              <w:left w:val="single" w:color="auto" w:sz="4" w:space="0"/>
              <w:bottom w:val="single" w:color="auto" w:sz="4" w:space="0"/>
              <w:right w:val="single" w:color="auto" w:sz="4" w:space="0"/>
            </w:tcBorders>
            <w:vAlign w:val="center"/>
          </w:tcPr>
          <w:p w14:paraId="6C34D295">
            <w:pPr>
              <w:spacing w:after="0" w:line="240" w:lineRule="auto"/>
              <w:jc w:val="center"/>
              <w:rPr>
                <w:rFonts w:cs="Times New Roman"/>
                <w:sz w:val="26"/>
                <w:szCs w:val="26"/>
                <w:lang w:val="en-US"/>
              </w:rPr>
            </w:pPr>
          </w:p>
        </w:tc>
        <w:tc>
          <w:tcPr>
            <w:tcW w:w="1024" w:type="dxa"/>
            <w:vMerge w:val="continue"/>
            <w:tcBorders>
              <w:left w:val="single" w:color="auto" w:sz="4" w:space="0"/>
              <w:bottom w:val="single" w:color="auto" w:sz="4" w:space="0"/>
              <w:right w:val="single" w:color="auto" w:sz="4" w:space="0"/>
            </w:tcBorders>
          </w:tcPr>
          <w:p w14:paraId="417F7E30">
            <w:pPr>
              <w:spacing w:after="0" w:line="240" w:lineRule="auto"/>
              <w:jc w:val="center"/>
              <w:rPr>
                <w:rFonts w:cs="Times New Roman"/>
                <w:bCs/>
                <w:sz w:val="26"/>
                <w:szCs w:val="26"/>
                <w:lang w:eastAsia="vi-VN"/>
              </w:rPr>
            </w:pPr>
          </w:p>
        </w:tc>
        <w:tc>
          <w:tcPr>
            <w:tcW w:w="1087" w:type="dxa"/>
            <w:vMerge w:val="continue"/>
            <w:tcBorders>
              <w:left w:val="single" w:color="auto" w:sz="4" w:space="0"/>
            </w:tcBorders>
          </w:tcPr>
          <w:p w14:paraId="5318CC2E">
            <w:pPr>
              <w:spacing w:after="0" w:line="240" w:lineRule="auto"/>
              <w:jc w:val="center"/>
              <w:rPr>
                <w:rFonts w:cs="Times New Roman"/>
                <w:bCs/>
                <w:sz w:val="26"/>
                <w:szCs w:val="26"/>
                <w:lang w:eastAsia="vi-VN"/>
              </w:rPr>
            </w:pPr>
          </w:p>
        </w:tc>
      </w:tr>
      <w:tr w14:paraId="7D98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8" w:type="dxa"/>
            <w:tcBorders>
              <w:top w:val="single" w:color="auto" w:sz="4" w:space="0"/>
              <w:left w:val="single" w:color="auto" w:sz="4" w:space="0"/>
              <w:bottom w:val="single" w:color="auto" w:sz="4" w:space="0"/>
              <w:right w:val="single" w:color="auto" w:sz="4" w:space="0"/>
            </w:tcBorders>
            <w:vAlign w:val="center"/>
          </w:tcPr>
          <w:p w14:paraId="2317280F">
            <w:pPr>
              <w:spacing w:after="0" w:line="240" w:lineRule="auto"/>
              <w:jc w:val="center"/>
              <w:rPr>
                <w:rFonts w:cs="Times New Roman"/>
                <w:color w:val="000000"/>
                <w:sz w:val="26"/>
                <w:szCs w:val="26"/>
              </w:rPr>
            </w:pPr>
            <w:r>
              <w:rPr>
                <w:rStyle w:val="22"/>
              </w:rPr>
              <w:t>1</w:t>
            </w:r>
          </w:p>
        </w:tc>
        <w:tc>
          <w:tcPr>
            <w:tcW w:w="2148" w:type="dxa"/>
            <w:tcBorders>
              <w:top w:val="single" w:color="auto" w:sz="4" w:space="0"/>
              <w:left w:val="single" w:color="auto" w:sz="4" w:space="0"/>
              <w:bottom w:val="single" w:color="auto" w:sz="4" w:space="0"/>
              <w:right w:val="single" w:color="auto" w:sz="4" w:space="0"/>
            </w:tcBorders>
            <w:vAlign w:val="center"/>
          </w:tcPr>
          <w:p w14:paraId="4A687C46">
            <w:pPr>
              <w:spacing w:after="0" w:line="240" w:lineRule="auto"/>
              <w:rPr>
                <w:rFonts w:cs="Times New Roman"/>
                <w:sz w:val="26"/>
                <w:szCs w:val="26"/>
              </w:rPr>
            </w:pPr>
          </w:p>
        </w:tc>
        <w:tc>
          <w:tcPr>
            <w:tcW w:w="2622" w:type="dxa"/>
            <w:tcBorders>
              <w:top w:val="single" w:color="auto" w:sz="4" w:space="0"/>
              <w:left w:val="single" w:color="auto" w:sz="4" w:space="0"/>
              <w:bottom w:val="single" w:color="auto" w:sz="4" w:space="0"/>
              <w:right w:val="single" w:color="auto" w:sz="4" w:space="0"/>
            </w:tcBorders>
            <w:vAlign w:val="center"/>
          </w:tcPr>
          <w:p w14:paraId="25746572">
            <w:pPr>
              <w:spacing w:after="0" w:line="240" w:lineRule="auto"/>
              <w:rPr>
                <w:rFonts w:cs="Times New Roman"/>
                <w:sz w:val="26"/>
                <w:szCs w:val="26"/>
              </w:rPr>
            </w:pPr>
          </w:p>
        </w:tc>
        <w:tc>
          <w:tcPr>
            <w:tcW w:w="889" w:type="dxa"/>
            <w:tcBorders>
              <w:top w:val="single" w:color="auto" w:sz="4" w:space="0"/>
              <w:left w:val="single" w:color="auto" w:sz="4" w:space="0"/>
              <w:bottom w:val="single" w:color="auto" w:sz="4" w:space="0"/>
              <w:right w:val="single" w:color="auto" w:sz="4" w:space="0"/>
            </w:tcBorders>
          </w:tcPr>
          <w:p w14:paraId="7D647BFC">
            <w:pPr>
              <w:spacing w:after="0" w:line="240" w:lineRule="auto"/>
              <w:jc w:val="center"/>
              <w:rPr>
                <w:rFonts w:cs="Times New Roman"/>
                <w:sz w:val="26"/>
                <w:szCs w:val="26"/>
              </w:rPr>
            </w:pPr>
          </w:p>
        </w:tc>
        <w:tc>
          <w:tcPr>
            <w:tcW w:w="857" w:type="dxa"/>
            <w:tcBorders>
              <w:top w:val="single" w:color="auto" w:sz="4" w:space="0"/>
              <w:left w:val="single" w:color="auto" w:sz="4" w:space="0"/>
              <w:bottom w:val="single" w:color="auto" w:sz="4" w:space="0"/>
              <w:right w:val="single" w:color="auto" w:sz="4" w:space="0"/>
            </w:tcBorders>
          </w:tcPr>
          <w:p w14:paraId="12F56DE2">
            <w:pPr>
              <w:spacing w:after="0" w:line="240" w:lineRule="auto"/>
              <w:jc w:val="center"/>
              <w:rPr>
                <w:rFonts w:cs="Times New Roman"/>
                <w:sz w:val="26"/>
                <w:szCs w:val="26"/>
              </w:rPr>
            </w:pPr>
          </w:p>
        </w:tc>
        <w:tc>
          <w:tcPr>
            <w:tcW w:w="885" w:type="dxa"/>
            <w:tcBorders>
              <w:top w:val="single" w:color="auto" w:sz="4" w:space="0"/>
              <w:left w:val="single" w:color="auto" w:sz="4" w:space="0"/>
              <w:bottom w:val="single" w:color="auto" w:sz="4" w:space="0"/>
              <w:right w:val="single" w:color="auto" w:sz="4" w:space="0"/>
            </w:tcBorders>
          </w:tcPr>
          <w:p w14:paraId="6C8529FA">
            <w:pPr>
              <w:spacing w:after="0" w:line="240" w:lineRule="auto"/>
              <w:jc w:val="center"/>
              <w:rPr>
                <w:rFonts w:cs="Times New Roman"/>
                <w:sz w:val="26"/>
                <w:szCs w:val="26"/>
              </w:rPr>
            </w:pPr>
          </w:p>
        </w:tc>
        <w:tc>
          <w:tcPr>
            <w:tcW w:w="948" w:type="dxa"/>
            <w:tcBorders>
              <w:top w:val="single" w:color="auto" w:sz="4" w:space="0"/>
              <w:left w:val="single" w:color="auto" w:sz="4" w:space="0"/>
              <w:bottom w:val="single" w:color="auto" w:sz="4" w:space="0"/>
              <w:right w:val="single" w:color="auto" w:sz="4" w:space="0"/>
            </w:tcBorders>
          </w:tcPr>
          <w:p w14:paraId="4BA84279">
            <w:pPr>
              <w:spacing w:after="0" w:line="240" w:lineRule="auto"/>
              <w:jc w:val="center"/>
              <w:rPr>
                <w:rFonts w:cs="Times New Roman"/>
                <w:sz w:val="26"/>
                <w:szCs w:val="26"/>
              </w:rPr>
            </w:pPr>
          </w:p>
        </w:tc>
        <w:tc>
          <w:tcPr>
            <w:tcW w:w="947" w:type="dxa"/>
            <w:tcBorders>
              <w:top w:val="single" w:color="auto" w:sz="4" w:space="0"/>
              <w:left w:val="single" w:color="auto" w:sz="4" w:space="0"/>
              <w:bottom w:val="single" w:color="auto" w:sz="4" w:space="0"/>
              <w:right w:val="single" w:color="auto" w:sz="4" w:space="0"/>
            </w:tcBorders>
          </w:tcPr>
          <w:p w14:paraId="110AF01B">
            <w:pPr>
              <w:spacing w:after="0" w:line="240" w:lineRule="auto"/>
              <w:jc w:val="center"/>
              <w:rPr>
                <w:rFonts w:cs="Times New Roman"/>
                <w:sz w:val="26"/>
                <w:szCs w:val="26"/>
              </w:rPr>
            </w:pPr>
          </w:p>
        </w:tc>
        <w:tc>
          <w:tcPr>
            <w:tcW w:w="953" w:type="dxa"/>
            <w:tcBorders>
              <w:top w:val="single" w:color="auto" w:sz="4" w:space="0"/>
              <w:left w:val="single" w:color="auto" w:sz="4" w:space="0"/>
              <w:bottom w:val="single" w:color="auto" w:sz="4" w:space="0"/>
              <w:right w:val="single" w:color="auto" w:sz="4" w:space="0"/>
            </w:tcBorders>
            <w:vAlign w:val="center"/>
          </w:tcPr>
          <w:p w14:paraId="6BA9EE9C">
            <w:pPr>
              <w:spacing w:after="0" w:line="240" w:lineRule="auto"/>
              <w:jc w:val="center"/>
              <w:rPr>
                <w:rFonts w:cs="Times New Roman"/>
                <w:sz w:val="26"/>
                <w:szCs w:val="26"/>
              </w:rPr>
            </w:pPr>
          </w:p>
        </w:tc>
        <w:tc>
          <w:tcPr>
            <w:tcW w:w="895" w:type="dxa"/>
            <w:tcBorders>
              <w:top w:val="single" w:color="auto" w:sz="4" w:space="0"/>
              <w:left w:val="single" w:color="auto" w:sz="4" w:space="0"/>
              <w:bottom w:val="single" w:color="auto" w:sz="4" w:space="0"/>
              <w:right w:val="single" w:color="auto" w:sz="4" w:space="0"/>
            </w:tcBorders>
            <w:vAlign w:val="center"/>
          </w:tcPr>
          <w:p w14:paraId="7133B65A">
            <w:pPr>
              <w:spacing w:after="0" w:line="240" w:lineRule="auto"/>
              <w:jc w:val="center"/>
              <w:rPr>
                <w:rFonts w:cs="Times New Roman"/>
                <w:sz w:val="26"/>
                <w:szCs w:val="26"/>
                <w:lang w:val="en-US"/>
              </w:rPr>
            </w:pPr>
          </w:p>
        </w:tc>
        <w:tc>
          <w:tcPr>
            <w:tcW w:w="1024" w:type="dxa"/>
            <w:tcBorders>
              <w:top w:val="single" w:color="auto" w:sz="4" w:space="0"/>
              <w:left w:val="single" w:color="auto" w:sz="4" w:space="0"/>
              <w:bottom w:val="single" w:color="auto" w:sz="4" w:space="0"/>
              <w:right w:val="single" w:color="auto" w:sz="4" w:space="0"/>
            </w:tcBorders>
          </w:tcPr>
          <w:p w14:paraId="67E7993F">
            <w:pPr>
              <w:spacing w:after="0" w:line="240" w:lineRule="auto"/>
              <w:jc w:val="center"/>
              <w:rPr>
                <w:rFonts w:cs="Times New Roman"/>
                <w:bCs/>
                <w:sz w:val="26"/>
                <w:szCs w:val="26"/>
                <w:lang w:eastAsia="vi-VN"/>
              </w:rPr>
            </w:pPr>
          </w:p>
        </w:tc>
        <w:tc>
          <w:tcPr>
            <w:tcW w:w="1087" w:type="dxa"/>
            <w:tcBorders>
              <w:left w:val="single" w:color="auto" w:sz="4" w:space="0"/>
            </w:tcBorders>
          </w:tcPr>
          <w:p w14:paraId="3AEEFE26">
            <w:pPr>
              <w:spacing w:after="0" w:line="240" w:lineRule="auto"/>
              <w:jc w:val="center"/>
              <w:rPr>
                <w:rFonts w:cs="Times New Roman"/>
                <w:bCs/>
                <w:sz w:val="26"/>
                <w:szCs w:val="26"/>
                <w:lang w:eastAsia="vi-VN"/>
              </w:rPr>
            </w:pPr>
          </w:p>
        </w:tc>
      </w:tr>
      <w:tr w14:paraId="4750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8" w:type="dxa"/>
            <w:tcBorders>
              <w:top w:val="single" w:color="auto" w:sz="4" w:space="0"/>
              <w:left w:val="single" w:color="auto" w:sz="4" w:space="0"/>
              <w:bottom w:val="single" w:color="auto" w:sz="4" w:space="0"/>
              <w:right w:val="single" w:color="auto" w:sz="4" w:space="0"/>
            </w:tcBorders>
            <w:vAlign w:val="center"/>
          </w:tcPr>
          <w:p w14:paraId="68007785">
            <w:pPr>
              <w:spacing w:after="0" w:line="240" w:lineRule="auto"/>
              <w:jc w:val="center"/>
              <w:rPr>
                <w:rStyle w:val="22"/>
                <w:lang w:val="en-US"/>
              </w:rPr>
            </w:pPr>
            <w:r>
              <w:rPr>
                <w:rStyle w:val="22"/>
                <w:lang w:val="en-US"/>
              </w:rPr>
              <w:t>2</w:t>
            </w:r>
          </w:p>
        </w:tc>
        <w:tc>
          <w:tcPr>
            <w:tcW w:w="2148" w:type="dxa"/>
            <w:tcBorders>
              <w:top w:val="single" w:color="auto" w:sz="4" w:space="0"/>
              <w:left w:val="single" w:color="auto" w:sz="4" w:space="0"/>
              <w:bottom w:val="single" w:color="auto" w:sz="4" w:space="0"/>
              <w:right w:val="single" w:color="auto" w:sz="4" w:space="0"/>
            </w:tcBorders>
            <w:vAlign w:val="center"/>
          </w:tcPr>
          <w:p w14:paraId="74F61CA1">
            <w:pPr>
              <w:spacing w:after="0" w:line="240" w:lineRule="auto"/>
              <w:rPr>
                <w:rFonts w:cs="Times New Roman"/>
                <w:sz w:val="26"/>
                <w:szCs w:val="26"/>
              </w:rPr>
            </w:pPr>
          </w:p>
        </w:tc>
        <w:tc>
          <w:tcPr>
            <w:tcW w:w="2622" w:type="dxa"/>
            <w:tcBorders>
              <w:top w:val="single" w:color="auto" w:sz="4" w:space="0"/>
              <w:left w:val="single" w:color="auto" w:sz="4" w:space="0"/>
              <w:bottom w:val="single" w:color="auto" w:sz="4" w:space="0"/>
              <w:right w:val="single" w:color="auto" w:sz="4" w:space="0"/>
            </w:tcBorders>
            <w:vAlign w:val="center"/>
          </w:tcPr>
          <w:p w14:paraId="20B53B3C">
            <w:pPr>
              <w:spacing w:after="0" w:line="240" w:lineRule="auto"/>
              <w:rPr>
                <w:rFonts w:cs="Times New Roman"/>
                <w:sz w:val="26"/>
                <w:szCs w:val="26"/>
              </w:rPr>
            </w:pPr>
          </w:p>
        </w:tc>
        <w:tc>
          <w:tcPr>
            <w:tcW w:w="889" w:type="dxa"/>
            <w:tcBorders>
              <w:top w:val="single" w:color="auto" w:sz="4" w:space="0"/>
              <w:left w:val="single" w:color="auto" w:sz="4" w:space="0"/>
              <w:bottom w:val="single" w:color="auto" w:sz="4" w:space="0"/>
              <w:right w:val="single" w:color="auto" w:sz="4" w:space="0"/>
            </w:tcBorders>
          </w:tcPr>
          <w:p w14:paraId="63AE3241">
            <w:pPr>
              <w:spacing w:after="0" w:line="240" w:lineRule="auto"/>
              <w:jc w:val="center"/>
              <w:rPr>
                <w:rFonts w:cs="Times New Roman"/>
                <w:sz w:val="26"/>
                <w:szCs w:val="26"/>
              </w:rPr>
            </w:pPr>
          </w:p>
        </w:tc>
        <w:tc>
          <w:tcPr>
            <w:tcW w:w="857" w:type="dxa"/>
            <w:tcBorders>
              <w:top w:val="single" w:color="auto" w:sz="4" w:space="0"/>
              <w:left w:val="single" w:color="auto" w:sz="4" w:space="0"/>
              <w:bottom w:val="single" w:color="auto" w:sz="4" w:space="0"/>
              <w:right w:val="single" w:color="auto" w:sz="4" w:space="0"/>
            </w:tcBorders>
          </w:tcPr>
          <w:p w14:paraId="2CCAD011">
            <w:pPr>
              <w:spacing w:after="0" w:line="240" w:lineRule="auto"/>
              <w:jc w:val="center"/>
              <w:rPr>
                <w:rFonts w:cs="Times New Roman"/>
                <w:sz w:val="26"/>
                <w:szCs w:val="26"/>
              </w:rPr>
            </w:pPr>
          </w:p>
        </w:tc>
        <w:tc>
          <w:tcPr>
            <w:tcW w:w="885" w:type="dxa"/>
            <w:tcBorders>
              <w:top w:val="single" w:color="auto" w:sz="4" w:space="0"/>
              <w:left w:val="single" w:color="auto" w:sz="4" w:space="0"/>
              <w:bottom w:val="single" w:color="auto" w:sz="4" w:space="0"/>
              <w:right w:val="single" w:color="auto" w:sz="4" w:space="0"/>
            </w:tcBorders>
          </w:tcPr>
          <w:p w14:paraId="7B9CD797">
            <w:pPr>
              <w:spacing w:after="0" w:line="240" w:lineRule="auto"/>
              <w:jc w:val="center"/>
              <w:rPr>
                <w:rFonts w:cs="Times New Roman"/>
                <w:sz w:val="26"/>
                <w:szCs w:val="26"/>
              </w:rPr>
            </w:pPr>
          </w:p>
        </w:tc>
        <w:tc>
          <w:tcPr>
            <w:tcW w:w="948" w:type="dxa"/>
            <w:tcBorders>
              <w:top w:val="single" w:color="auto" w:sz="4" w:space="0"/>
              <w:left w:val="single" w:color="auto" w:sz="4" w:space="0"/>
              <w:bottom w:val="single" w:color="auto" w:sz="4" w:space="0"/>
              <w:right w:val="single" w:color="auto" w:sz="4" w:space="0"/>
            </w:tcBorders>
          </w:tcPr>
          <w:p w14:paraId="4B07BDA2">
            <w:pPr>
              <w:spacing w:after="0" w:line="240" w:lineRule="auto"/>
              <w:jc w:val="center"/>
              <w:rPr>
                <w:rFonts w:cs="Times New Roman"/>
                <w:sz w:val="26"/>
                <w:szCs w:val="26"/>
              </w:rPr>
            </w:pPr>
          </w:p>
        </w:tc>
        <w:tc>
          <w:tcPr>
            <w:tcW w:w="947" w:type="dxa"/>
            <w:tcBorders>
              <w:top w:val="single" w:color="auto" w:sz="4" w:space="0"/>
              <w:left w:val="single" w:color="auto" w:sz="4" w:space="0"/>
              <w:bottom w:val="single" w:color="auto" w:sz="4" w:space="0"/>
              <w:right w:val="single" w:color="auto" w:sz="4" w:space="0"/>
            </w:tcBorders>
          </w:tcPr>
          <w:p w14:paraId="0302BA69">
            <w:pPr>
              <w:spacing w:after="0" w:line="240" w:lineRule="auto"/>
              <w:jc w:val="center"/>
              <w:rPr>
                <w:rFonts w:cs="Times New Roman"/>
                <w:sz w:val="26"/>
                <w:szCs w:val="26"/>
              </w:rPr>
            </w:pPr>
          </w:p>
        </w:tc>
        <w:tc>
          <w:tcPr>
            <w:tcW w:w="953" w:type="dxa"/>
            <w:tcBorders>
              <w:top w:val="single" w:color="auto" w:sz="4" w:space="0"/>
              <w:left w:val="single" w:color="auto" w:sz="4" w:space="0"/>
              <w:bottom w:val="single" w:color="auto" w:sz="4" w:space="0"/>
              <w:right w:val="single" w:color="auto" w:sz="4" w:space="0"/>
            </w:tcBorders>
            <w:vAlign w:val="center"/>
          </w:tcPr>
          <w:p w14:paraId="1AB5F75C">
            <w:pPr>
              <w:spacing w:after="0" w:line="240" w:lineRule="auto"/>
              <w:jc w:val="center"/>
              <w:rPr>
                <w:rFonts w:cs="Times New Roman"/>
                <w:sz w:val="26"/>
                <w:szCs w:val="26"/>
              </w:rPr>
            </w:pPr>
          </w:p>
        </w:tc>
        <w:tc>
          <w:tcPr>
            <w:tcW w:w="895" w:type="dxa"/>
            <w:tcBorders>
              <w:top w:val="single" w:color="auto" w:sz="4" w:space="0"/>
              <w:left w:val="single" w:color="auto" w:sz="4" w:space="0"/>
              <w:bottom w:val="single" w:color="auto" w:sz="4" w:space="0"/>
              <w:right w:val="single" w:color="auto" w:sz="4" w:space="0"/>
            </w:tcBorders>
            <w:vAlign w:val="center"/>
          </w:tcPr>
          <w:p w14:paraId="51DF3427">
            <w:pPr>
              <w:spacing w:after="0" w:line="240" w:lineRule="auto"/>
              <w:jc w:val="center"/>
              <w:rPr>
                <w:rFonts w:cs="Times New Roman"/>
                <w:sz w:val="26"/>
                <w:szCs w:val="26"/>
                <w:lang w:val="en-US"/>
              </w:rPr>
            </w:pPr>
          </w:p>
        </w:tc>
        <w:tc>
          <w:tcPr>
            <w:tcW w:w="1024" w:type="dxa"/>
            <w:tcBorders>
              <w:top w:val="single" w:color="auto" w:sz="4" w:space="0"/>
              <w:left w:val="single" w:color="auto" w:sz="4" w:space="0"/>
              <w:bottom w:val="single" w:color="auto" w:sz="4" w:space="0"/>
              <w:right w:val="single" w:color="auto" w:sz="4" w:space="0"/>
            </w:tcBorders>
          </w:tcPr>
          <w:p w14:paraId="7AE0A1B1">
            <w:pPr>
              <w:spacing w:after="0" w:line="240" w:lineRule="auto"/>
              <w:jc w:val="center"/>
              <w:rPr>
                <w:rFonts w:cs="Times New Roman"/>
                <w:bCs/>
                <w:sz w:val="26"/>
                <w:szCs w:val="26"/>
                <w:lang w:eastAsia="vi-VN"/>
              </w:rPr>
            </w:pPr>
          </w:p>
        </w:tc>
        <w:tc>
          <w:tcPr>
            <w:tcW w:w="1087" w:type="dxa"/>
            <w:tcBorders>
              <w:left w:val="single" w:color="auto" w:sz="4" w:space="0"/>
            </w:tcBorders>
          </w:tcPr>
          <w:p w14:paraId="16A8083A">
            <w:pPr>
              <w:spacing w:after="0" w:line="240" w:lineRule="auto"/>
              <w:jc w:val="center"/>
              <w:rPr>
                <w:rFonts w:cs="Times New Roman"/>
                <w:bCs/>
                <w:sz w:val="26"/>
                <w:szCs w:val="26"/>
                <w:lang w:eastAsia="vi-VN"/>
              </w:rPr>
            </w:pPr>
          </w:p>
        </w:tc>
      </w:tr>
      <w:tr w14:paraId="3ACA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38" w:type="dxa"/>
            <w:tcBorders>
              <w:top w:val="single" w:color="auto" w:sz="4" w:space="0"/>
              <w:left w:val="single" w:color="auto" w:sz="4" w:space="0"/>
              <w:bottom w:val="single" w:color="auto" w:sz="4" w:space="0"/>
              <w:right w:val="single" w:color="auto" w:sz="4" w:space="0"/>
            </w:tcBorders>
            <w:vAlign w:val="center"/>
          </w:tcPr>
          <w:p w14:paraId="6FEE5902">
            <w:pPr>
              <w:spacing w:after="0" w:line="240" w:lineRule="auto"/>
              <w:jc w:val="center"/>
              <w:rPr>
                <w:rStyle w:val="22"/>
                <w:lang w:val="en-US"/>
              </w:rPr>
            </w:pPr>
            <w:r>
              <w:rPr>
                <w:rStyle w:val="22"/>
                <w:lang w:val="en-US"/>
              </w:rPr>
              <w:t>...</w:t>
            </w:r>
          </w:p>
        </w:tc>
        <w:tc>
          <w:tcPr>
            <w:tcW w:w="2148" w:type="dxa"/>
            <w:tcBorders>
              <w:top w:val="single" w:color="auto" w:sz="4" w:space="0"/>
              <w:left w:val="single" w:color="auto" w:sz="4" w:space="0"/>
              <w:bottom w:val="single" w:color="auto" w:sz="4" w:space="0"/>
              <w:right w:val="single" w:color="auto" w:sz="4" w:space="0"/>
            </w:tcBorders>
            <w:vAlign w:val="center"/>
          </w:tcPr>
          <w:p w14:paraId="25D9A5AD">
            <w:pPr>
              <w:spacing w:after="0" w:line="240" w:lineRule="auto"/>
              <w:rPr>
                <w:rFonts w:cs="Times New Roman"/>
                <w:sz w:val="26"/>
                <w:szCs w:val="26"/>
              </w:rPr>
            </w:pPr>
          </w:p>
        </w:tc>
        <w:tc>
          <w:tcPr>
            <w:tcW w:w="2622" w:type="dxa"/>
            <w:tcBorders>
              <w:top w:val="single" w:color="auto" w:sz="4" w:space="0"/>
              <w:left w:val="single" w:color="auto" w:sz="4" w:space="0"/>
              <w:bottom w:val="single" w:color="auto" w:sz="4" w:space="0"/>
              <w:right w:val="single" w:color="auto" w:sz="4" w:space="0"/>
            </w:tcBorders>
            <w:vAlign w:val="center"/>
          </w:tcPr>
          <w:p w14:paraId="29B5B2BE">
            <w:pPr>
              <w:spacing w:after="0" w:line="240" w:lineRule="auto"/>
              <w:rPr>
                <w:rFonts w:cs="Times New Roman"/>
                <w:sz w:val="26"/>
                <w:szCs w:val="26"/>
              </w:rPr>
            </w:pPr>
          </w:p>
        </w:tc>
        <w:tc>
          <w:tcPr>
            <w:tcW w:w="889" w:type="dxa"/>
            <w:tcBorders>
              <w:top w:val="single" w:color="auto" w:sz="4" w:space="0"/>
              <w:left w:val="single" w:color="auto" w:sz="4" w:space="0"/>
              <w:bottom w:val="single" w:color="auto" w:sz="4" w:space="0"/>
              <w:right w:val="single" w:color="auto" w:sz="4" w:space="0"/>
            </w:tcBorders>
          </w:tcPr>
          <w:p w14:paraId="3A96F525">
            <w:pPr>
              <w:spacing w:after="0" w:line="240" w:lineRule="auto"/>
              <w:jc w:val="center"/>
              <w:rPr>
                <w:rFonts w:cs="Times New Roman"/>
                <w:sz w:val="26"/>
                <w:szCs w:val="26"/>
              </w:rPr>
            </w:pPr>
          </w:p>
        </w:tc>
        <w:tc>
          <w:tcPr>
            <w:tcW w:w="857" w:type="dxa"/>
            <w:tcBorders>
              <w:top w:val="single" w:color="auto" w:sz="4" w:space="0"/>
              <w:left w:val="single" w:color="auto" w:sz="4" w:space="0"/>
              <w:bottom w:val="single" w:color="auto" w:sz="4" w:space="0"/>
              <w:right w:val="single" w:color="auto" w:sz="4" w:space="0"/>
            </w:tcBorders>
          </w:tcPr>
          <w:p w14:paraId="4C476947">
            <w:pPr>
              <w:spacing w:after="0" w:line="240" w:lineRule="auto"/>
              <w:jc w:val="center"/>
              <w:rPr>
                <w:rFonts w:cs="Times New Roman"/>
                <w:sz w:val="26"/>
                <w:szCs w:val="26"/>
              </w:rPr>
            </w:pPr>
          </w:p>
        </w:tc>
        <w:tc>
          <w:tcPr>
            <w:tcW w:w="885" w:type="dxa"/>
            <w:tcBorders>
              <w:top w:val="single" w:color="auto" w:sz="4" w:space="0"/>
              <w:left w:val="single" w:color="auto" w:sz="4" w:space="0"/>
              <w:bottom w:val="single" w:color="auto" w:sz="4" w:space="0"/>
              <w:right w:val="single" w:color="auto" w:sz="4" w:space="0"/>
            </w:tcBorders>
          </w:tcPr>
          <w:p w14:paraId="6A9EA4A7">
            <w:pPr>
              <w:spacing w:after="0" w:line="240" w:lineRule="auto"/>
              <w:jc w:val="center"/>
              <w:rPr>
                <w:rFonts w:cs="Times New Roman"/>
                <w:sz w:val="26"/>
                <w:szCs w:val="26"/>
              </w:rPr>
            </w:pPr>
          </w:p>
        </w:tc>
        <w:tc>
          <w:tcPr>
            <w:tcW w:w="948" w:type="dxa"/>
            <w:tcBorders>
              <w:top w:val="single" w:color="auto" w:sz="4" w:space="0"/>
              <w:left w:val="single" w:color="auto" w:sz="4" w:space="0"/>
              <w:bottom w:val="single" w:color="auto" w:sz="4" w:space="0"/>
              <w:right w:val="single" w:color="auto" w:sz="4" w:space="0"/>
            </w:tcBorders>
          </w:tcPr>
          <w:p w14:paraId="631F8F08">
            <w:pPr>
              <w:spacing w:after="0" w:line="240" w:lineRule="auto"/>
              <w:jc w:val="center"/>
              <w:rPr>
                <w:rFonts w:cs="Times New Roman"/>
                <w:sz w:val="26"/>
                <w:szCs w:val="26"/>
              </w:rPr>
            </w:pPr>
          </w:p>
        </w:tc>
        <w:tc>
          <w:tcPr>
            <w:tcW w:w="947" w:type="dxa"/>
            <w:tcBorders>
              <w:top w:val="single" w:color="auto" w:sz="4" w:space="0"/>
              <w:left w:val="single" w:color="auto" w:sz="4" w:space="0"/>
              <w:bottom w:val="single" w:color="auto" w:sz="4" w:space="0"/>
              <w:right w:val="single" w:color="auto" w:sz="4" w:space="0"/>
            </w:tcBorders>
          </w:tcPr>
          <w:p w14:paraId="4CBF031E">
            <w:pPr>
              <w:spacing w:after="0" w:line="240" w:lineRule="auto"/>
              <w:jc w:val="center"/>
              <w:rPr>
                <w:rFonts w:cs="Times New Roman"/>
                <w:sz w:val="26"/>
                <w:szCs w:val="26"/>
              </w:rPr>
            </w:pPr>
          </w:p>
        </w:tc>
        <w:tc>
          <w:tcPr>
            <w:tcW w:w="953" w:type="dxa"/>
            <w:tcBorders>
              <w:top w:val="single" w:color="auto" w:sz="4" w:space="0"/>
              <w:left w:val="single" w:color="auto" w:sz="4" w:space="0"/>
              <w:bottom w:val="single" w:color="auto" w:sz="4" w:space="0"/>
              <w:right w:val="single" w:color="auto" w:sz="4" w:space="0"/>
            </w:tcBorders>
            <w:vAlign w:val="center"/>
          </w:tcPr>
          <w:p w14:paraId="56E76E3D">
            <w:pPr>
              <w:spacing w:after="0" w:line="240" w:lineRule="auto"/>
              <w:jc w:val="center"/>
              <w:rPr>
                <w:rFonts w:cs="Times New Roman"/>
                <w:sz w:val="26"/>
                <w:szCs w:val="26"/>
              </w:rPr>
            </w:pPr>
          </w:p>
        </w:tc>
        <w:tc>
          <w:tcPr>
            <w:tcW w:w="895" w:type="dxa"/>
            <w:tcBorders>
              <w:top w:val="single" w:color="auto" w:sz="4" w:space="0"/>
              <w:left w:val="single" w:color="auto" w:sz="4" w:space="0"/>
              <w:bottom w:val="single" w:color="auto" w:sz="4" w:space="0"/>
              <w:right w:val="single" w:color="auto" w:sz="4" w:space="0"/>
            </w:tcBorders>
            <w:vAlign w:val="center"/>
          </w:tcPr>
          <w:p w14:paraId="077CF9EC">
            <w:pPr>
              <w:spacing w:after="0" w:line="240" w:lineRule="auto"/>
              <w:jc w:val="center"/>
              <w:rPr>
                <w:rFonts w:cs="Times New Roman"/>
                <w:sz w:val="26"/>
                <w:szCs w:val="26"/>
                <w:lang w:val="en-US"/>
              </w:rPr>
            </w:pPr>
          </w:p>
        </w:tc>
        <w:tc>
          <w:tcPr>
            <w:tcW w:w="1024" w:type="dxa"/>
            <w:tcBorders>
              <w:top w:val="single" w:color="auto" w:sz="4" w:space="0"/>
              <w:left w:val="single" w:color="auto" w:sz="4" w:space="0"/>
              <w:bottom w:val="single" w:color="auto" w:sz="4" w:space="0"/>
              <w:right w:val="single" w:color="auto" w:sz="4" w:space="0"/>
            </w:tcBorders>
          </w:tcPr>
          <w:p w14:paraId="608C8B74">
            <w:pPr>
              <w:spacing w:after="0" w:line="240" w:lineRule="auto"/>
              <w:jc w:val="center"/>
              <w:rPr>
                <w:rFonts w:cs="Times New Roman"/>
                <w:bCs/>
                <w:sz w:val="26"/>
                <w:szCs w:val="26"/>
                <w:lang w:eastAsia="vi-VN"/>
              </w:rPr>
            </w:pPr>
          </w:p>
        </w:tc>
        <w:tc>
          <w:tcPr>
            <w:tcW w:w="1087" w:type="dxa"/>
            <w:tcBorders>
              <w:left w:val="single" w:color="auto" w:sz="4" w:space="0"/>
            </w:tcBorders>
          </w:tcPr>
          <w:p w14:paraId="0ACECE3D">
            <w:pPr>
              <w:spacing w:after="0" w:line="240" w:lineRule="auto"/>
              <w:jc w:val="center"/>
              <w:rPr>
                <w:rFonts w:cs="Times New Roman"/>
                <w:bCs/>
                <w:sz w:val="26"/>
                <w:szCs w:val="26"/>
                <w:lang w:eastAsia="vi-VN"/>
              </w:rPr>
            </w:pPr>
          </w:p>
        </w:tc>
      </w:tr>
      <w:tr w14:paraId="2CAE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2906" w:type="dxa"/>
            <w:gridSpan w:val="11"/>
            <w:tcBorders>
              <w:top w:val="single" w:color="auto" w:sz="4" w:space="0"/>
              <w:left w:val="single" w:color="auto" w:sz="4" w:space="0"/>
              <w:bottom w:val="single" w:color="auto" w:sz="4" w:space="0"/>
              <w:right w:val="single" w:color="auto" w:sz="4" w:space="0"/>
            </w:tcBorders>
            <w:vAlign w:val="center"/>
          </w:tcPr>
          <w:p w14:paraId="0F25F8DA">
            <w:pPr>
              <w:spacing w:after="0" w:line="240" w:lineRule="auto"/>
              <w:jc w:val="center"/>
              <w:rPr>
                <w:rFonts w:cs="Times New Roman"/>
                <w:bCs/>
                <w:sz w:val="26"/>
                <w:szCs w:val="26"/>
                <w:lang w:val="en-US" w:eastAsia="vi-VN"/>
              </w:rPr>
            </w:pPr>
            <w:r>
              <w:rPr>
                <w:rFonts w:cs="Times New Roman"/>
                <w:bCs/>
                <w:sz w:val="26"/>
                <w:szCs w:val="26"/>
                <w:lang w:val="en-US" w:eastAsia="vi-VN"/>
              </w:rPr>
              <w:t>Tổng cộng:</w:t>
            </w:r>
          </w:p>
        </w:tc>
        <w:tc>
          <w:tcPr>
            <w:tcW w:w="1087" w:type="dxa"/>
            <w:tcBorders>
              <w:left w:val="single" w:color="auto" w:sz="4" w:space="0"/>
            </w:tcBorders>
          </w:tcPr>
          <w:p w14:paraId="3EC87E9D">
            <w:pPr>
              <w:spacing w:after="0" w:line="240" w:lineRule="auto"/>
              <w:jc w:val="center"/>
              <w:rPr>
                <w:rFonts w:cs="Times New Roman"/>
                <w:bCs/>
                <w:sz w:val="26"/>
                <w:szCs w:val="26"/>
                <w:lang w:eastAsia="vi-VN"/>
              </w:rPr>
            </w:pPr>
          </w:p>
        </w:tc>
      </w:tr>
    </w:tbl>
    <w:p w14:paraId="75959492">
      <w:pPr>
        <w:spacing w:before="60" w:after="60" w:line="240" w:lineRule="auto"/>
        <w:ind w:firstLine="567"/>
        <w:rPr>
          <w:rFonts w:ascii="TimesNewRomanPS-ItalicMT" w:hAnsi="TimesNewRomanPS-ItalicMT"/>
          <w:i/>
          <w:iCs/>
          <w:color w:val="000000"/>
          <w:szCs w:val="28"/>
          <w:lang w:val="en-US"/>
        </w:rPr>
      </w:pPr>
    </w:p>
    <w:p w14:paraId="18722962">
      <w:pPr>
        <w:spacing w:before="60" w:after="60" w:line="240" w:lineRule="auto"/>
        <w:ind w:firstLine="567"/>
        <w:rPr>
          <w:rFonts w:eastAsia="Calibri" w:cs="Times New Roman"/>
          <w:color w:val="000000" w:themeColor="text1"/>
          <w:sz w:val="27"/>
          <w:szCs w:val="27"/>
          <w:lang w:val="en-US"/>
          <w14:textFill>
            <w14:solidFill>
              <w14:schemeClr w14:val="tx1"/>
            </w14:solidFill>
          </w14:textFill>
        </w:rPr>
      </w:pPr>
      <w:r>
        <w:rPr>
          <w:rFonts w:ascii="TimesNewRomanPS-ItalicMT" w:hAnsi="TimesNewRomanPS-ItalicMT"/>
          <w:i/>
          <w:iCs/>
          <w:color w:val="000000"/>
          <w:szCs w:val="28"/>
        </w:rPr>
        <w:t>Hãng sản xuất, nhà cung cấp: Gửi kèm theo các tài liệu giấy phép kinh doanh, hợp đồng tương tự hoặc các tài liệu liên quan của dịch vụ, vật tư ,thiết bị y tế (nếu có)</w:t>
      </w:r>
    </w:p>
    <w:p w14:paraId="709D7ED9">
      <w:pPr>
        <w:spacing w:before="60" w:after="60" w:line="240" w:lineRule="auto"/>
        <w:ind w:firstLine="567"/>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có)….và các khoản chi phí khác có liên quan, bên mua không phải trả thêm bất kỳ khoản chi phí nào khác.</w:t>
      </w:r>
    </w:p>
    <w:p w14:paraId="6518475D">
      <w:pPr>
        <w:spacing w:before="60" w:after="60" w:line="240" w:lineRule="auto"/>
        <w:ind w:firstLine="567"/>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3. Báo giá này có hiệu lực trong vòng: 90 ngày, kể từ ngày 12/10/2026.</w:t>
      </w:r>
    </w:p>
    <w:p w14:paraId="6FAD59AD">
      <w:pPr>
        <w:spacing w:before="60" w:after="60" w:line="240" w:lineRule="auto"/>
        <w:ind w:firstLine="567"/>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xml:space="preserve">4. </w:t>
      </w:r>
      <w:r>
        <w:rPr>
          <w:color w:val="000000" w:themeColor="text1"/>
          <w:szCs w:val="28"/>
          <w:lang w:val="en-US"/>
          <w14:textFill>
            <w14:solidFill>
              <w14:schemeClr w14:val="tx1"/>
            </w14:solidFill>
          </w14:textFill>
        </w:rPr>
        <w:t>Thời gian bảo hành: Tối thiểu 12 tháng kể từ ngày ký biên bản bàn giao, nghiệm thu.</w:t>
      </w:r>
    </w:p>
    <w:p w14:paraId="6F769EA9">
      <w:pPr>
        <w:spacing w:before="60" w:after="60" w:line="240" w:lineRule="auto"/>
        <w:ind w:firstLine="567"/>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Chúng tôi cam kết:</w:t>
      </w:r>
    </w:p>
    <w:p w14:paraId="34B1BE78">
      <w:pPr>
        <w:spacing w:before="60" w:after="60" w:line="240" w:lineRule="auto"/>
        <w:ind w:firstLine="567"/>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ind w:firstLine="567"/>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xml:space="preserve">........, ngày ….  tháng ….  năm </w:t>
            </w:r>
            <w:r>
              <w:rPr>
                <w:bCs/>
                <w:i/>
                <w:iCs/>
                <w:color w:val="000000" w:themeColor="text1"/>
                <w:sz w:val="27"/>
                <w:szCs w:val="27"/>
                <w:lang w:val="en-US"/>
                <w14:textFill>
                  <w14:solidFill>
                    <w14:schemeClr w14:val="tx1"/>
                  </w14:solidFill>
                </w14:textFill>
              </w:rPr>
              <w:t>2026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footerReference r:id="rId5" w:type="default"/>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NewRomanPS-Italic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2C3A"/>
    <w:rsid w:val="00013E97"/>
    <w:rsid w:val="00021279"/>
    <w:rsid w:val="00034997"/>
    <w:rsid w:val="000361F2"/>
    <w:rsid w:val="0003693A"/>
    <w:rsid w:val="0004043D"/>
    <w:rsid w:val="00042048"/>
    <w:rsid w:val="0004317D"/>
    <w:rsid w:val="00050F4C"/>
    <w:rsid w:val="000561EF"/>
    <w:rsid w:val="00065C82"/>
    <w:rsid w:val="00067DA8"/>
    <w:rsid w:val="00070B40"/>
    <w:rsid w:val="00074BBA"/>
    <w:rsid w:val="000778EE"/>
    <w:rsid w:val="00083127"/>
    <w:rsid w:val="000921EF"/>
    <w:rsid w:val="00096AD3"/>
    <w:rsid w:val="000A032B"/>
    <w:rsid w:val="000A1A0D"/>
    <w:rsid w:val="000A1FB5"/>
    <w:rsid w:val="000A4502"/>
    <w:rsid w:val="000A4B03"/>
    <w:rsid w:val="000A55ED"/>
    <w:rsid w:val="000A5A79"/>
    <w:rsid w:val="000C5EA6"/>
    <w:rsid w:val="000C77FA"/>
    <w:rsid w:val="000D02C4"/>
    <w:rsid w:val="000D1E56"/>
    <w:rsid w:val="000D399D"/>
    <w:rsid w:val="000D7E8C"/>
    <w:rsid w:val="000E0A85"/>
    <w:rsid w:val="000F6490"/>
    <w:rsid w:val="000F6DE0"/>
    <w:rsid w:val="00106A95"/>
    <w:rsid w:val="00107A24"/>
    <w:rsid w:val="001123B9"/>
    <w:rsid w:val="0011423B"/>
    <w:rsid w:val="001157EE"/>
    <w:rsid w:val="0011799A"/>
    <w:rsid w:val="001223B1"/>
    <w:rsid w:val="00123674"/>
    <w:rsid w:val="00125A4A"/>
    <w:rsid w:val="00126193"/>
    <w:rsid w:val="001353AC"/>
    <w:rsid w:val="00142F5C"/>
    <w:rsid w:val="001522DB"/>
    <w:rsid w:val="001524B9"/>
    <w:rsid w:val="0015471C"/>
    <w:rsid w:val="001668C4"/>
    <w:rsid w:val="00170540"/>
    <w:rsid w:val="001717F3"/>
    <w:rsid w:val="0017274B"/>
    <w:rsid w:val="00181E54"/>
    <w:rsid w:val="00186710"/>
    <w:rsid w:val="00187FFC"/>
    <w:rsid w:val="001A7416"/>
    <w:rsid w:val="001C51A0"/>
    <w:rsid w:val="001D3979"/>
    <w:rsid w:val="001D423C"/>
    <w:rsid w:val="001D4F8B"/>
    <w:rsid w:val="001D593D"/>
    <w:rsid w:val="001F4AC6"/>
    <w:rsid w:val="001F4F65"/>
    <w:rsid w:val="0020476E"/>
    <w:rsid w:val="00213370"/>
    <w:rsid w:val="002162E8"/>
    <w:rsid w:val="0022656E"/>
    <w:rsid w:val="002268E1"/>
    <w:rsid w:val="0023434D"/>
    <w:rsid w:val="00241ABC"/>
    <w:rsid w:val="00246E7E"/>
    <w:rsid w:val="00250FD4"/>
    <w:rsid w:val="00276A53"/>
    <w:rsid w:val="0028647F"/>
    <w:rsid w:val="00292FA0"/>
    <w:rsid w:val="002A348B"/>
    <w:rsid w:val="002A476C"/>
    <w:rsid w:val="002A4B0D"/>
    <w:rsid w:val="002A6C2C"/>
    <w:rsid w:val="002B2EF9"/>
    <w:rsid w:val="002B764C"/>
    <w:rsid w:val="002C0CD2"/>
    <w:rsid w:val="002C33EA"/>
    <w:rsid w:val="002F0600"/>
    <w:rsid w:val="002F0ECB"/>
    <w:rsid w:val="002F4C04"/>
    <w:rsid w:val="00313611"/>
    <w:rsid w:val="00313C78"/>
    <w:rsid w:val="00314387"/>
    <w:rsid w:val="00317EE9"/>
    <w:rsid w:val="003245A7"/>
    <w:rsid w:val="00325CE1"/>
    <w:rsid w:val="0033018D"/>
    <w:rsid w:val="00335A5C"/>
    <w:rsid w:val="00344318"/>
    <w:rsid w:val="003628F3"/>
    <w:rsid w:val="00372E19"/>
    <w:rsid w:val="00375B57"/>
    <w:rsid w:val="003A0608"/>
    <w:rsid w:val="003A07E9"/>
    <w:rsid w:val="003B238E"/>
    <w:rsid w:val="003B3728"/>
    <w:rsid w:val="003B4E18"/>
    <w:rsid w:val="003B59EF"/>
    <w:rsid w:val="003C2724"/>
    <w:rsid w:val="003C463E"/>
    <w:rsid w:val="003C51FE"/>
    <w:rsid w:val="003D1247"/>
    <w:rsid w:val="003D4607"/>
    <w:rsid w:val="003E4BD5"/>
    <w:rsid w:val="004018D3"/>
    <w:rsid w:val="00404BBA"/>
    <w:rsid w:val="00410D61"/>
    <w:rsid w:val="004130B7"/>
    <w:rsid w:val="00417C34"/>
    <w:rsid w:val="004231CB"/>
    <w:rsid w:val="00432951"/>
    <w:rsid w:val="004413B7"/>
    <w:rsid w:val="00444BE6"/>
    <w:rsid w:val="00447DD1"/>
    <w:rsid w:val="004622A4"/>
    <w:rsid w:val="004629CF"/>
    <w:rsid w:val="00465DF2"/>
    <w:rsid w:val="0048074B"/>
    <w:rsid w:val="004811C8"/>
    <w:rsid w:val="0048133A"/>
    <w:rsid w:val="00482FC9"/>
    <w:rsid w:val="004954F1"/>
    <w:rsid w:val="004A0F3A"/>
    <w:rsid w:val="004A6E37"/>
    <w:rsid w:val="004B1E80"/>
    <w:rsid w:val="004B28E9"/>
    <w:rsid w:val="004B319C"/>
    <w:rsid w:val="004C6432"/>
    <w:rsid w:val="004D2712"/>
    <w:rsid w:val="004E0328"/>
    <w:rsid w:val="004E1C0D"/>
    <w:rsid w:val="004E31DA"/>
    <w:rsid w:val="004E6323"/>
    <w:rsid w:val="004F317E"/>
    <w:rsid w:val="004F4871"/>
    <w:rsid w:val="0056305E"/>
    <w:rsid w:val="00565314"/>
    <w:rsid w:val="00573DCF"/>
    <w:rsid w:val="00590309"/>
    <w:rsid w:val="00592819"/>
    <w:rsid w:val="00592DDD"/>
    <w:rsid w:val="005957F3"/>
    <w:rsid w:val="00596201"/>
    <w:rsid w:val="005A4580"/>
    <w:rsid w:val="005B40DD"/>
    <w:rsid w:val="005B6DEB"/>
    <w:rsid w:val="005C0FEF"/>
    <w:rsid w:val="005C1F55"/>
    <w:rsid w:val="005C3964"/>
    <w:rsid w:val="005C4DBE"/>
    <w:rsid w:val="005E29C0"/>
    <w:rsid w:val="005E54B9"/>
    <w:rsid w:val="005E5A37"/>
    <w:rsid w:val="005E62F1"/>
    <w:rsid w:val="00600F8D"/>
    <w:rsid w:val="006010EC"/>
    <w:rsid w:val="006155D6"/>
    <w:rsid w:val="0061754B"/>
    <w:rsid w:val="00621BC2"/>
    <w:rsid w:val="00624CCD"/>
    <w:rsid w:val="00625942"/>
    <w:rsid w:val="0062720A"/>
    <w:rsid w:val="00641A8F"/>
    <w:rsid w:val="00653D00"/>
    <w:rsid w:val="0065417F"/>
    <w:rsid w:val="006552E4"/>
    <w:rsid w:val="006601F5"/>
    <w:rsid w:val="0066127A"/>
    <w:rsid w:val="00661344"/>
    <w:rsid w:val="00665AA8"/>
    <w:rsid w:val="00667561"/>
    <w:rsid w:val="00673C93"/>
    <w:rsid w:val="006750E6"/>
    <w:rsid w:val="00677943"/>
    <w:rsid w:val="0068176A"/>
    <w:rsid w:val="006833F3"/>
    <w:rsid w:val="00686B93"/>
    <w:rsid w:val="006A3F6E"/>
    <w:rsid w:val="006B48B6"/>
    <w:rsid w:val="006C35F2"/>
    <w:rsid w:val="006C5866"/>
    <w:rsid w:val="006C61D1"/>
    <w:rsid w:val="006C64AB"/>
    <w:rsid w:val="006C68A9"/>
    <w:rsid w:val="006D1788"/>
    <w:rsid w:val="006E4C8C"/>
    <w:rsid w:val="006F4CF6"/>
    <w:rsid w:val="006F585E"/>
    <w:rsid w:val="006F5BC5"/>
    <w:rsid w:val="00724FCC"/>
    <w:rsid w:val="00735EF3"/>
    <w:rsid w:val="007443FD"/>
    <w:rsid w:val="00744884"/>
    <w:rsid w:val="007463E3"/>
    <w:rsid w:val="00747DA0"/>
    <w:rsid w:val="0075302C"/>
    <w:rsid w:val="00756CAF"/>
    <w:rsid w:val="00762A9E"/>
    <w:rsid w:val="00764A15"/>
    <w:rsid w:val="00766523"/>
    <w:rsid w:val="00777365"/>
    <w:rsid w:val="00781EA0"/>
    <w:rsid w:val="00782E0F"/>
    <w:rsid w:val="00783DEF"/>
    <w:rsid w:val="007A56AC"/>
    <w:rsid w:val="007B010F"/>
    <w:rsid w:val="007B155F"/>
    <w:rsid w:val="007B3041"/>
    <w:rsid w:val="007B790F"/>
    <w:rsid w:val="007D1D86"/>
    <w:rsid w:val="007D505F"/>
    <w:rsid w:val="007D62D9"/>
    <w:rsid w:val="007D71A1"/>
    <w:rsid w:val="007E6CB5"/>
    <w:rsid w:val="007F0C76"/>
    <w:rsid w:val="00800284"/>
    <w:rsid w:val="0080370B"/>
    <w:rsid w:val="00806509"/>
    <w:rsid w:val="008113FE"/>
    <w:rsid w:val="0081206F"/>
    <w:rsid w:val="00822E04"/>
    <w:rsid w:val="0083068D"/>
    <w:rsid w:val="00841806"/>
    <w:rsid w:val="008464C7"/>
    <w:rsid w:val="0084700F"/>
    <w:rsid w:val="008506E0"/>
    <w:rsid w:val="00862E0C"/>
    <w:rsid w:val="00867198"/>
    <w:rsid w:val="008762D5"/>
    <w:rsid w:val="0088091A"/>
    <w:rsid w:val="008825DF"/>
    <w:rsid w:val="00886A07"/>
    <w:rsid w:val="008A0A2B"/>
    <w:rsid w:val="008A3C84"/>
    <w:rsid w:val="008B1121"/>
    <w:rsid w:val="008B36C0"/>
    <w:rsid w:val="008B50E3"/>
    <w:rsid w:val="008B5BFE"/>
    <w:rsid w:val="008C4486"/>
    <w:rsid w:val="008C483D"/>
    <w:rsid w:val="008D0549"/>
    <w:rsid w:val="008E2CC9"/>
    <w:rsid w:val="008E7C70"/>
    <w:rsid w:val="008F05A5"/>
    <w:rsid w:val="008F45DD"/>
    <w:rsid w:val="00904530"/>
    <w:rsid w:val="00914D1E"/>
    <w:rsid w:val="00916A02"/>
    <w:rsid w:val="0092459A"/>
    <w:rsid w:val="009261F2"/>
    <w:rsid w:val="0094053C"/>
    <w:rsid w:val="00941B20"/>
    <w:rsid w:val="00944F3D"/>
    <w:rsid w:val="009511FC"/>
    <w:rsid w:val="00957982"/>
    <w:rsid w:val="009619C0"/>
    <w:rsid w:val="009635E8"/>
    <w:rsid w:val="009720BE"/>
    <w:rsid w:val="009725F3"/>
    <w:rsid w:val="009800EA"/>
    <w:rsid w:val="0098047F"/>
    <w:rsid w:val="00981E17"/>
    <w:rsid w:val="00982ABE"/>
    <w:rsid w:val="00984878"/>
    <w:rsid w:val="009857D1"/>
    <w:rsid w:val="0098783B"/>
    <w:rsid w:val="009927F3"/>
    <w:rsid w:val="0099350C"/>
    <w:rsid w:val="009B1E5C"/>
    <w:rsid w:val="009B39EB"/>
    <w:rsid w:val="009B58AB"/>
    <w:rsid w:val="009B72B1"/>
    <w:rsid w:val="009C25A6"/>
    <w:rsid w:val="009C7C22"/>
    <w:rsid w:val="009D6977"/>
    <w:rsid w:val="009E12BC"/>
    <w:rsid w:val="009E2AEC"/>
    <w:rsid w:val="009E30F3"/>
    <w:rsid w:val="009E7641"/>
    <w:rsid w:val="009F2623"/>
    <w:rsid w:val="009F3293"/>
    <w:rsid w:val="009F442F"/>
    <w:rsid w:val="00A037E5"/>
    <w:rsid w:val="00A05B8E"/>
    <w:rsid w:val="00A10FCA"/>
    <w:rsid w:val="00A13709"/>
    <w:rsid w:val="00A16507"/>
    <w:rsid w:val="00A45AFD"/>
    <w:rsid w:val="00A5738E"/>
    <w:rsid w:val="00A6778F"/>
    <w:rsid w:val="00A80477"/>
    <w:rsid w:val="00A921E2"/>
    <w:rsid w:val="00AA1620"/>
    <w:rsid w:val="00AA5EF0"/>
    <w:rsid w:val="00AA6333"/>
    <w:rsid w:val="00AB5806"/>
    <w:rsid w:val="00AC28A8"/>
    <w:rsid w:val="00AC43D0"/>
    <w:rsid w:val="00AC5BE3"/>
    <w:rsid w:val="00AC6AB2"/>
    <w:rsid w:val="00AD10E7"/>
    <w:rsid w:val="00AD5391"/>
    <w:rsid w:val="00AD5D7C"/>
    <w:rsid w:val="00AE3048"/>
    <w:rsid w:val="00AE6B08"/>
    <w:rsid w:val="00AE6DDE"/>
    <w:rsid w:val="00AE73E3"/>
    <w:rsid w:val="00AF6E82"/>
    <w:rsid w:val="00AF7B18"/>
    <w:rsid w:val="00B00A2D"/>
    <w:rsid w:val="00B0158A"/>
    <w:rsid w:val="00B11F75"/>
    <w:rsid w:val="00B12796"/>
    <w:rsid w:val="00B3115D"/>
    <w:rsid w:val="00B323C2"/>
    <w:rsid w:val="00B34723"/>
    <w:rsid w:val="00B34FBB"/>
    <w:rsid w:val="00B358F4"/>
    <w:rsid w:val="00B470D9"/>
    <w:rsid w:val="00B76F20"/>
    <w:rsid w:val="00B83DCC"/>
    <w:rsid w:val="00B85846"/>
    <w:rsid w:val="00B90D48"/>
    <w:rsid w:val="00B93D33"/>
    <w:rsid w:val="00B97E7F"/>
    <w:rsid w:val="00BA780B"/>
    <w:rsid w:val="00BB4D4E"/>
    <w:rsid w:val="00BB7810"/>
    <w:rsid w:val="00BC0810"/>
    <w:rsid w:val="00BC544C"/>
    <w:rsid w:val="00BD0C92"/>
    <w:rsid w:val="00BD7B62"/>
    <w:rsid w:val="00BE5E62"/>
    <w:rsid w:val="00BF0495"/>
    <w:rsid w:val="00BF2EF0"/>
    <w:rsid w:val="00BF32C7"/>
    <w:rsid w:val="00BF62FB"/>
    <w:rsid w:val="00C06F64"/>
    <w:rsid w:val="00C072D0"/>
    <w:rsid w:val="00C13B41"/>
    <w:rsid w:val="00C20149"/>
    <w:rsid w:val="00C251F3"/>
    <w:rsid w:val="00C37DE4"/>
    <w:rsid w:val="00C41D6F"/>
    <w:rsid w:val="00C42397"/>
    <w:rsid w:val="00C551E4"/>
    <w:rsid w:val="00C61D63"/>
    <w:rsid w:val="00C66BC7"/>
    <w:rsid w:val="00C74F50"/>
    <w:rsid w:val="00C75E7F"/>
    <w:rsid w:val="00C83D09"/>
    <w:rsid w:val="00C86CA2"/>
    <w:rsid w:val="00C928EB"/>
    <w:rsid w:val="00C9422C"/>
    <w:rsid w:val="00C947D4"/>
    <w:rsid w:val="00CA68C2"/>
    <w:rsid w:val="00CB0DF5"/>
    <w:rsid w:val="00CB2C86"/>
    <w:rsid w:val="00CB6AA3"/>
    <w:rsid w:val="00CF2301"/>
    <w:rsid w:val="00CF28A9"/>
    <w:rsid w:val="00CF4545"/>
    <w:rsid w:val="00D057F6"/>
    <w:rsid w:val="00D06CE4"/>
    <w:rsid w:val="00D136C3"/>
    <w:rsid w:val="00D17679"/>
    <w:rsid w:val="00D205C7"/>
    <w:rsid w:val="00D229A0"/>
    <w:rsid w:val="00D43B56"/>
    <w:rsid w:val="00D43CFF"/>
    <w:rsid w:val="00D543A2"/>
    <w:rsid w:val="00D55802"/>
    <w:rsid w:val="00D55B0E"/>
    <w:rsid w:val="00D55CC7"/>
    <w:rsid w:val="00D65180"/>
    <w:rsid w:val="00D73FFE"/>
    <w:rsid w:val="00D8648D"/>
    <w:rsid w:val="00D9091C"/>
    <w:rsid w:val="00D90DA6"/>
    <w:rsid w:val="00D91929"/>
    <w:rsid w:val="00D92007"/>
    <w:rsid w:val="00D9505F"/>
    <w:rsid w:val="00DA7303"/>
    <w:rsid w:val="00DB24F3"/>
    <w:rsid w:val="00DB505D"/>
    <w:rsid w:val="00DC081E"/>
    <w:rsid w:val="00DD12EF"/>
    <w:rsid w:val="00DD386E"/>
    <w:rsid w:val="00DD6821"/>
    <w:rsid w:val="00DF1C11"/>
    <w:rsid w:val="00DF288E"/>
    <w:rsid w:val="00DF5739"/>
    <w:rsid w:val="00DF7D3F"/>
    <w:rsid w:val="00E12552"/>
    <w:rsid w:val="00E14BE1"/>
    <w:rsid w:val="00E153C8"/>
    <w:rsid w:val="00E17619"/>
    <w:rsid w:val="00E303DE"/>
    <w:rsid w:val="00E3355C"/>
    <w:rsid w:val="00E35928"/>
    <w:rsid w:val="00E4094D"/>
    <w:rsid w:val="00E429C8"/>
    <w:rsid w:val="00E4350E"/>
    <w:rsid w:val="00E44C27"/>
    <w:rsid w:val="00E467DF"/>
    <w:rsid w:val="00E5621E"/>
    <w:rsid w:val="00E57BC5"/>
    <w:rsid w:val="00E71843"/>
    <w:rsid w:val="00E719D8"/>
    <w:rsid w:val="00E746C7"/>
    <w:rsid w:val="00E832FD"/>
    <w:rsid w:val="00EA2B4F"/>
    <w:rsid w:val="00EA39C2"/>
    <w:rsid w:val="00EA48A7"/>
    <w:rsid w:val="00EB0E41"/>
    <w:rsid w:val="00EB171B"/>
    <w:rsid w:val="00EB5BA7"/>
    <w:rsid w:val="00EB685B"/>
    <w:rsid w:val="00EE273B"/>
    <w:rsid w:val="00EE3201"/>
    <w:rsid w:val="00EE5126"/>
    <w:rsid w:val="00EE7B11"/>
    <w:rsid w:val="00EF2D81"/>
    <w:rsid w:val="00EF75AA"/>
    <w:rsid w:val="00F02D80"/>
    <w:rsid w:val="00F02EC8"/>
    <w:rsid w:val="00F24A43"/>
    <w:rsid w:val="00F418E8"/>
    <w:rsid w:val="00F4339E"/>
    <w:rsid w:val="00F52EEC"/>
    <w:rsid w:val="00F52FEB"/>
    <w:rsid w:val="00F54761"/>
    <w:rsid w:val="00F60B19"/>
    <w:rsid w:val="00F6371B"/>
    <w:rsid w:val="00F6441B"/>
    <w:rsid w:val="00F70984"/>
    <w:rsid w:val="00F873A0"/>
    <w:rsid w:val="00F94E0D"/>
    <w:rsid w:val="00FA1BC3"/>
    <w:rsid w:val="00FA2CC1"/>
    <w:rsid w:val="00FB27D1"/>
    <w:rsid w:val="00FC235D"/>
    <w:rsid w:val="00FD0453"/>
    <w:rsid w:val="00FD4113"/>
    <w:rsid w:val="00FD76E7"/>
    <w:rsid w:val="00FF4C52"/>
    <w:rsid w:val="00FF4DA7"/>
    <w:rsid w:val="00FF6F8C"/>
    <w:rsid w:val="03370B50"/>
    <w:rsid w:val="08A010C3"/>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3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Chân trang Char"/>
    <w:basedOn w:val="3"/>
    <w:link w:val="7"/>
    <w:qFormat/>
    <w:uiPriority w:val="99"/>
    <w:rPr>
      <w:rFonts w:ascii="Times New Roman" w:hAnsi="Times New Roman"/>
      <w:sz w:val="28"/>
      <w:lang w:val="vi-VN"/>
    </w:rPr>
  </w:style>
  <w:style w:type="character" w:customStyle="1" w:styleId="14">
    <w:name w:val="Bóng chú thích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Đoạn của Danh sác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Đầu đề 1 Char"/>
    <w:basedOn w:val="3"/>
    <w:link w:val="2"/>
    <w:qFormat/>
    <w:uiPriority w:val="0"/>
    <w:rPr>
      <w:rFonts w:ascii="Calibri Light" w:hAnsi="Calibri Light" w:eastAsia="Times New Roman" w:cs="Times New Roman"/>
      <w:b/>
      <w:bCs/>
      <w:kern w:val="32"/>
      <w:sz w:val="32"/>
      <w:szCs w:val="32"/>
    </w:rPr>
  </w:style>
  <w:style w:type="character" w:customStyle="1" w:styleId="21">
    <w:name w:val="Đầu trang Char"/>
    <w:basedOn w:val="3"/>
    <w:link w:val="8"/>
    <w:qFormat/>
    <w:uiPriority w:val="99"/>
    <w:rPr>
      <w:rFonts w:ascii="Times New Roman" w:hAnsi="Times New Roman"/>
      <w:sz w:val="28"/>
      <w:szCs w:val="22"/>
      <w:lang w:val="vi-VN"/>
    </w:rPr>
  </w:style>
  <w:style w:type="character" w:customStyle="1" w:styleId="22">
    <w:name w:val="fontstyle01"/>
    <w:qFormat/>
    <w:uiPriority w:val="0"/>
    <w:rPr>
      <w:rFonts w:hint="default" w:ascii="Times New Roman" w:hAnsi="Times New Roman" w:cs="Times New Roman"/>
      <w:color w:val="000000"/>
      <w:sz w:val="26"/>
      <w:szCs w:val="26"/>
    </w:rPr>
  </w:style>
  <w:style w:type="character" w:customStyle="1" w:styleId="23">
    <w:name w:val="Table caption_"/>
    <w:link w:val="24"/>
    <w:qFormat/>
    <w:uiPriority w:val="99"/>
    <w:rPr>
      <w:sz w:val="26"/>
      <w:szCs w:val="26"/>
      <w:shd w:val="clear" w:color="auto" w:fill="FFFFFF"/>
    </w:rPr>
  </w:style>
  <w:style w:type="paragraph" w:customStyle="1" w:styleId="24">
    <w:name w:val="Table caption"/>
    <w:basedOn w:val="1"/>
    <w:link w:val="23"/>
    <w:uiPriority w:val="99"/>
    <w:pPr>
      <w:widowControl w:val="0"/>
      <w:shd w:val="clear" w:color="auto" w:fill="FFFFFF"/>
      <w:spacing w:after="0" w:line="259" w:lineRule="auto"/>
      <w:ind w:firstLine="720"/>
      <w:jc w:val="center"/>
    </w:pPr>
    <w:rPr>
      <w:rFonts w:asciiTheme="minorHAnsi" w:hAnsiTheme="minorHAnsi"/>
      <w:sz w:val="26"/>
      <w:szCs w:val="26"/>
      <w:lang w:val="en-US"/>
    </w:rPr>
  </w:style>
  <w:style w:type="character" w:customStyle="1" w:styleId="25">
    <w:name w:val="Văn bản nội dung (2)_"/>
    <w:link w:val="26"/>
    <w:qFormat/>
    <w:uiPriority w:val="99"/>
    <w:rPr>
      <w:i/>
      <w:iCs/>
      <w:sz w:val="26"/>
      <w:szCs w:val="26"/>
    </w:rPr>
  </w:style>
  <w:style w:type="paragraph" w:customStyle="1" w:styleId="26">
    <w:name w:val="Văn bản nội dung (2)"/>
    <w:basedOn w:val="1"/>
    <w:link w:val="25"/>
    <w:qFormat/>
    <w:uiPriority w:val="99"/>
    <w:pPr>
      <w:widowControl w:val="0"/>
      <w:spacing w:after="80" w:line="300" w:lineRule="auto"/>
      <w:ind w:firstLine="560"/>
    </w:pPr>
    <w:rPr>
      <w:rFonts w:asciiTheme="minorHAnsi" w:hAnsiTheme="minorHAnsi"/>
      <w:i/>
      <w:iCs/>
      <w:sz w:val="26"/>
      <w:szCs w:val="26"/>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CE3E7-938B-4790-8BEB-947911BEFFB1}">
  <ds:schemaRefs/>
</ds:datastoreItem>
</file>

<file path=docProps/app.xml><?xml version="1.0" encoding="utf-8"?>
<Properties xmlns="http://schemas.openxmlformats.org/officeDocument/2006/extended-properties" xmlns:vt="http://schemas.openxmlformats.org/officeDocument/2006/docPropsVTypes">
  <Template>Normal</Template>
  <Pages>4</Pages>
  <Words>1383</Words>
  <Characters>4990</Characters>
  <Lines>46</Lines>
  <Paragraphs>13</Paragraphs>
  <TotalTime>518</TotalTime>
  <ScaleCrop>false</ScaleCrop>
  <LinksUpToDate>false</LinksUpToDate>
  <CharactersWithSpaces>6313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2024-02-07T03:57:00Z</dcterms:created>
  <dc:creator>NOI 3</dc:creator>
  <cp:lastModifiedBy>Truong Hoang Hiep</cp:lastModifiedBy>
  <cp:lastPrinted>2023-09-25T07:44:00Z</cp:lastPrinted>
  <dcterms:modified xsi:type="dcterms:W3CDTF">2026-10-07T01:21:48Z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