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21B34E">
      <w:pPr>
        <w:spacing w:line="276" w:lineRule="auto"/>
        <w:jc w:val="center"/>
        <w:rPr>
          <w:b/>
          <w:bCs/>
          <w:sz w:val="26"/>
          <w:szCs w:val="26"/>
        </w:rPr>
      </w:pPr>
      <w:bookmarkStart w:id="2" w:name="_GoBack"/>
      <w:bookmarkEnd w:id="2"/>
      <w:r>
        <w:rPr>
          <w:b/>
          <w:bCs/>
          <w:sz w:val="26"/>
          <w:szCs w:val="26"/>
        </w:rPr>
        <w:t xml:space="preserve">Phụ lục: Danh mục, số lượng, </w:t>
      </w:r>
      <w:r>
        <w:rPr>
          <w:b/>
          <w:sz w:val="26"/>
          <w:szCs w:val="26"/>
        </w:rPr>
        <w:t>yêu cầu về tính năng, yêu cầu kỹ thuật</w:t>
      </w:r>
    </w:p>
    <w:p w14:paraId="472A63E9">
      <w:pPr>
        <w:spacing w:line="276" w:lineRule="auto"/>
        <w:jc w:val="center"/>
        <w:rPr>
          <w:sz w:val="26"/>
          <w:szCs w:val="26"/>
        </w:rPr>
      </w:pPr>
      <w:r>
        <w:rPr>
          <w:bCs/>
          <w:sz w:val="26"/>
          <w:szCs w:val="26"/>
        </w:rPr>
        <w:t xml:space="preserve"> Gói thầu: </w:t>
      </w:r>
      <w:r>
        <w:rPr>
          <w:sz w:val="26"/>
          <w:szCs w:val="26"/>
        </w:rPr>
        <w:t>Mua sắm vật tư, hóa chất xét nghiệm năm 2026 – 2028 (Đợt 4)</w:t>
      </w:r>
    </w:p>
    <w:p w14:paraId="2D286930">
      <w:pPr>
        <w:spacing w:line="276" w:lineRule="auto"/>
        <w:jc w:val="center"/>
        <w:rPr>
          <w:i/>
          <w:iCs/>
          <w:sz w:val="26"/>
          <w:szCs w:val="26"/>
          <w:lang w:val="fr-FR"/>
        </w:rPr>
      </w:pPr>
      <w:r>
        <w:rPr>
          <w:i/>
          <w:iCs/>
          <w:sz w:val="26"/>
          <w:szCs w:val="26"/>
          <w:lang w:val="fr-FR"/>
        </w:rPr>
        <w:t xml:space="preserve"> (Kèm theo Yêu</w:t>
      </w:r>
      <w:r>
        <w:rPr>
          <w:i/>
          <w:iCs/>
          <w:sz w:val="26"/>
          <w:szCs w:val="26"/>
          <w:lang w:val="vi-VN"/>
        </w:rPr>
        <w:t xml:space="preserve"> cầu báo giá</w:t>
      </w:r>
      <w:r>
        <w:rPr>
          <w:i/>
          <w:iCs/>
          <w:sz w:val="26"/>
          <w:szCs w:val="26"/>
          <w:lang w:val="fr-FR"/>
        </w:rPr>
        <w:t xml:space="preserve"> số: 9165/QĐ-BVĐKBN2 ngày 25/09/2026 của Giám đốc Bệnh viện đa khoa Bắc Ninh số 2)</w:t>
      </w:r>
    </w:p>
    <w:tbl>
      <w:tblPr>
        <w:tblStyle w:val="3"/>
        <w:tblW w:w="10490" w:type="dxa"/>
        <w:tblInd w:w="-71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7"/>
        <w:gridCol w:w="2410"/>
        <w:gridCol w:w="5954"/>
        <w:gridCol w:w="850"/>
        <w:gridCol w:w="709"/>
      </w:tblGrid>
      <w:tr w14:paraId="184BF4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c>
          <w:tcPr>
            <w:tcW w:w="567" w:type="dxa"/>
            <w:tcBorders>
              <w:top w:val="single" w:color="auto" w:sz="4" w:space="0"/>
              <w:left w:val="single" w:color="auto" w:sz="4" w:space="0"/>
              <w:bottom w:val="single" w:color="auto" w:sz="4" w:space="0"/>
              <w:right w:val="single" w:color="auto" w:sz="4" w:space="0"/>
            </w:tcBorders>
            <w:vAlign w:val="center"/>
          </w:tcPr>
          <w:p w14:paraId="74F526DC">
            <w:pPr>
              <w:jc w:val="center"/>
            </w:pPr>
            <w:r>
              <w:rPr>
                <w:b/>
                <w:bCs/>
                <w:color w:val="000000"/>
              </w:rPr>
              <w:t>STT</w:t>
            </w:r>
          </w:p>
        </w:tc>
        <w:tc>
          <w:tcPr>
            <w:tcW w:w="2410" w:type="dxa"/>
            <w:tcBorders>
              <w:top w:val="single" w:color="auto" w:sz="4" w:space="0"/>
              <w:left w:val="single" w:color="auto" w:sz="4" w:space="0"/>
              <w:bottom w:val="single" w:color="auto" w:sz="4" w:space="0"/>
              <w:right w:val="single" w:color="auto" w:sz="4" w:space="0"/>
            </w:tcBorders>
            <w:vAlign w:val="center"/>
          </w:tcPr>
          <w:p w14:paraId="1E883BD4">
            <w:pPr>
              <w:jc w:val="center"/>
            </w:pPr>
            <w:r>
              <w:rPr>
                <w:b/>
                <w:bCs/>
                <w:color w:val="000000"/>
              </w:rPr>
              <w:t>Danh mục hàng</w:t>
            </w:r>
            <w:r>
              <w:rPr>
                <w:b/>
                <w:bCs/>
                <w:color w:val="000000"/>
              </w:rPr>
              <w:br w:type="textWrapping"/>
            </w:r>
            <w:r>
              <w:rPr>
                <w:b/>
                <w:bCs/>
                <w:color w:val="000000"/>
              </w:rPr>
              <w:t>hóa</w:t>
            </w:r>
          </w:p>
        </w:tc>
        <w:tc>
          <w:tcPr>
            <w:tcW w:w="5954" w:type="dxa"/>
            <w:tcBorders>
              <w:top w:val="single" w:color="auto" w:sz="4" w:space="0"/>
              <w:left w:val="single" w:color="auto" w:sz="4" w:space="0"/>
              <w:bottom w:val="single" w:color="auto" w:sz="4" w:space="0"/>
              <w:right w:val="single" w:color="auto" w:sz="4" w:space="0"/>
            </w:tcBorders>
            <w:vAlign w:val="center"/>
          </w:tcPr>
          <w:p w14:paraId="7667772F">
            <w:pPr>
              <w:ind w:left="-220" w:firstLine="220"/>
              <w:jc w:val="center"/>
            </w:pPr>
            <w:r>
              <w:rPr>
                <w:b/>
                <w:bCs/>
                <w:color w:val="000000"/>
              </w:rPr>
              <w:t>Yêu cầu về tính năng, yêu cầu kỹ thuật</w:t>
            </w:r>
            <w:r>
              <w:rPr>
                <w:b/>
                <w:bCs/>
                <w:color w:val="000000"/>
              </w:rPr>
              <w:br w:type="textWrapping"/>
            </w:r>
            <w:r>
              <w:rPr>
                <w:i/>
                <w:iCs/>
                <w:color w:val="000000"/>
              </w:rPr>
              <w:t>(Đối với các thông số cố định, cho phép chào các kích cỡ</w:t>
            </w:r>
            <w:r>
              <w:rPr>
                <w:i/>
                <w:iCs/>
                <w:color w:val="000000"/>
              </w:rPr>
              <w:br w:type="textWrapping"/>
            </w:r>
            <w:r>
              <w:rPr>
                <w:i/>
                <w:iCs/>
                <w:color w:val="000000"/>
              </w:rPr>
              <w:t>khác dao động tối đa ±5%)</w:t>
            </w:r>
          </w:p>
        </w:tc>
        <w:tc>
          <w:tcPr>
            <w:tcW w:w="850" w:type="dxa"/>
            <w:tcBorders>
              <w:top w:val="single" w:color="auto" w:sz="4" w:space="0"/>
              <w:left w:val="single" w:color="auto" w:sz="4" w:space="0"/>
              <w:bottom w:val="single" w:color="auto" w:sz="4" w:space="0"/>
              <w:right w:val="single" w:color="auto" w:sz="4" w:space="0"/>
            </w:tcBorders>
            <w:vAlign w:val="center"/>
          </w:tcPr>
          <w:p w14:paraId="6DA8CE82">
            <w:pPr>
              <w:jc w:val="center"/>
            </w:pPr>
            <w:r>
              <w:rPr>
                <w:b/>
                <w:bCs/>
                <w:color w:val="000000"/>
              </w:rPr>
              <w:t>Đơn</w:t>
            </w:r>
            <w:r>
              <w:rPr>
                <w:b/>
                <w:bCs/>
                <w:color w:val="000000"/>
              </w:rPr>
              <w:br w:type="textWrapping"/>
            </w:r>
            <w:r>
              <w:rPr>
                <w:b/>
                <w:bCs/>
                <w:color w:val="000000"/>
              </w:rPr>
              <w:t>vị</w:t>
            </w:r>
            <w:r>
              <w:rPr>
                <w:b/>
                <w:bCs/>
                <w:color w:val="000000"/>
              </w:rPr>
              <w:br w:type="textWrapping"/>
            </w:r>
            <w:r>
              <w:rPr>
                <w:b/>
                <w:bCs/>
                <w:color w:val="000000"/>
              </w:rPr>
              <w:t>tính</w:t>
            </w:r>
          </w:p>
        </w:tc>
        <w:tc>
          <w:tcPr>
            <w:tcW w:w="709" w:type="dxa"/>
            <w:tcBorders>
              <w:top w:val="single" w:color="auto" w:sz="4" w:space="0"/>
              <w:left w:val="single" w:color="auto" w:sz="4" w:space="0"/>
              <w:bottom w:val="single" w:color="auto" w:sz="4" w:space="0"/>
              <w:right w:val="single" w:color="auto" w:sz="4" w:space="0"/>
            </w:tcBorders>
            <w:vAlign w:val="center"/>
          </w:tcPr>
          <w:p w14:paraId="5C090C75">
            <w:pPr>
              <w:jc w:val="center"/>
            </w:pPr>
            <w:r>
              <w:rPr>
                <w:b/>
                <w:bCs/>
                <w:color w:val="000000"/>
              </w:rPr>
              <w:t>Số</w:t>
            </w:r>
            <w:r>
              <w:rPr>
                <w:b/>
                <w:bCs/>
                <w:color w:val="000000"/>
              </w:rPr>
              <w:br w:type="textWrapping"/>
            </w:r>
            <w:r>
              <w:rPr>
                <w:b/>
                <w:bCs/>
                <w:color w:val="000000"/>
              </w:rPr>
              <w:t>lượng</w:t>
            </w:r>
          </w:p>
        </w:tc>
      </w:tr>
      <w:tr w14:paraId="1BDCA8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0490" w:type="dxa"/>
            <w:gridSpan w:val="5"/>
            <w:tcBorders>
              <w:top w:val="single" w:color="auto" w:sz="4" w:space="0"/>
              <w:left w:val="single" w:color="auto" w:sz="4" w:space="0"/>
              <w:bottom w:val="single" w:color="auto" w:sz="4" w:space="0"/>
            </w:tcBorders>
            <w:vAlign w:val="center"/>
          </w:tcPr>
          <w:p w14:paraId="7AF6B5A5">
            <w:pPr>
              <w:rPr>
                <w:sz w:val="20"/>
                <w:szCs w:val="20"/>
              </w:rPr>
            </w:pPr>
            <w:r>
              <w:rPr>
                <w:b/>
                <w:bCs/>
                <w:color w:val="000000"/>
              </w:rPr>
              <w:t>1. Vật tư sử dụng cho hệ thống xét nghiệm Elisa</w:t>
            </w:r>
          </w:p>
        </w:tc>
      </w:tr>
      <w:tr w14:paraId="029851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567" w:type="dxa"/>
            <w:tcBorders>
              <w:top w:val="single" w:color="auto" w:sz="4" w:space="0"/>
              <w:left w:val="single" w:color="auto" w:sz="4" w:space="0"/>
              <w:bottom w:val="single" w:color="auto" w:sz="4" w:space="0"/>
              <w:right w:val="single" w:color="auto" w:sz="4" w:space="0"/>
            </w:tcBorders>
            <w:vAlign w:val="center"/>
          </w:tcPr>
          <w:p w14:paraId="4BAD7784">
            <w:r>
              <w:rPr>
                <w:color w:val="000000"/>
              </w:rPr>
              <w:t>1.1</w:t>
            </w:r>
          </w:p>
        </w:tc>
        <w:tc>
          <w:tcPr>
            <w:tcW w:w="2410" w:type="dxa"/>
            <w:tcBorders>
              <w:top w:val="single" w:color="auto" w:sz="4" w:space="0"/>
              <w:left w:val="single" w:color="auto" w:sz="4" w:space="0"/>
              <w:bottom w:val="single" w:color="auto" w:sz="4" w:space="0"/>
              <w:right w:val="single" w:color="auto" w:sz="4" w:space="0"/>
            </w:tcBorders>
            <w:vAlign w:val="center"/>
          </w:tcPr>
          <w:p w14:paraId="3665A72E">
            <w:r>
              <w:rPr>
                <w:color w:val="000000"/>
              </w:rPr>
              <w:t>Dụng cụ hút mẫu</w:t>
            </w:r>
            <w:r>
              <w:rPr>
                <w:color w:val="000000"/>
              </w:rPr>
              <w:br w:type="textWrapping"/>
            </w:r>
            <w:r>
              <w:rPr>
                <w:color w:val="000000"/>
              </w:rPr>
              <w:t>bệnh phẩm (đầu côn)</w:t>
            </w:r>
            <w:r>
              <w:rPr>
                <w:color w:val="000000"/>
              </w:rPr>
              <w:br w:type="textWrapping"/>
            </w:r>
            <w:r>
              <w:rPr>
                <w:color w:val="000000"/>
              </w:rPr>
              <w:t>chuyên dùng trong</w:t>
            </w:r>
            <w:r>
              <w:rPr>
                <w:color w:val="000000"/>
              </w:rPr>
              <w:br w:type="textWrapping"/>
            </w:r>
            <w:r>
              <w:rPr>
                <w:color w:val="000000"/>
              </w:rPr>
              <w:t>xét nghiệm ELISA</w:t>
            </w:r>
            <w:r>
              <w:rPr>
                <w:color w:val="000000"/>
              </w:rPr>
              <w:br w:type="textWrapping"/>
            </w:r>
            <w:r>
              <w:rPr>
                <w:color w:val="000000"/>
              </w:rPr>
              <w:t>thể tích 300 µl</w:t>
            </w:r>
          </w:p>
        </w:tc>
        <w:tc>
          <w:tcPr>
            <w:tcW w:w="5954" w:type="dxa"/>
            <w:tcBorders>
              <w:top w:val="single" w:color="auto" w:sz="4" w:space="0"/>
              <w:left w:val="single" w:color="auto" w:sz="4" w:space="0"/>
              <w:bottom w:val="single" w:color="auto" w:sz="4" w:space="0"/>
              <w:right w:val="single" w:color="auto" w:sz="4" w:space="0"/>
            </w:tcBorders>
            <w:vAlign w:val="center"/>
          </w:tcPr>
          <w:p w14:paraId="43A776CF">
            <w:r>
              <w:rPr>
                <w:color w:val="000000"/>
              </w:rPr>
              <w:t>- Dụng cụ hút mẫu bệnh phẩm đầu tip dẫn điện</w:t>
            </w:r>
            <w:r>
              <w:rPr>
                <w:color w:val="000000"/>
              </w:rPr>
              <w:br w:type="textWrapping"/>
            </w:r>
            <w:r>
              <w:rPr>
                <w:color w:val="000000"/>
              </w:rPr>
              <w:t>- Vật liệu tip: PP (Polypropylene)</w:t>
            </w:r>
            <w:r>
              <w:rPr>
                <w:color w:val="000000"/>
              </w:rPr>
              <w:br w:type="textWrapping"/>
            </w:r>
            <w:r>
              <w:rPr>
                <w:color w:val="000000"/>
              </w:rPr>
              <w:t xml:space="preserve">- Kích thước tip: Chiều dài: 55.0 mm, đồng tâm: </w:t>
            </w:r>
            <w:r>
              <w:rPr>
                <w:rFonts w:ascii="SimSun" w:hAnsi="SimSun" w:eastAsia="SimSun"/>
                <w:color w:val="000000"/>
              </w:rPr>
              <w:t xml:space="preserve">≤ </w:t>
            </w:r>
            <w:r>
              <w:rPr>
                <w:color w:val="000000"/>
              </w:rPr>
              <w:t>1.5</w:t>
            </w:r>
            <w:r>
              <w:rPr>
                <w:color w:val="000000"/>
              </w:rPr>
              <w:br w:type="textWrapping"/>
            </w:r>
            <w:r>
              <w:rPr>
                <w:color w:val="000000"/>
              </w:rPr>
              <w:t>- Thể tích: 300 µl</w:t>
            </w:r>
            <w:r>
              <w:rPr>
                <w:color w:val="000000"/>
              </w:rPr>
              <w:br w:type="textWrapping"/>
            </w:r>
            <w:r>
              <w:rPr>
                <w:color w:val="000000"/>
              </w:rPr>
              <w:t xml:space="preserve">- Quy cách đóng gói </w:t>
            </w:r>
            <w:r>
              <w:rPr>
                <w:rFonts w:ascii="SimSun" w:hAnsi="SimSun" w:eastAsia="SimSun"/>
                <w:color w:val="000000"/>
              </w:rPr>
              <w:t xml:space="preserve">≥ </w:t>
            </w:r>
            <w:r>
              <w:rPr>
                <w:color w:val="000000"/>
              </w:rPr>
              <w:t>96 tips/khay</w:t>
            </w:r>
          </w:p>
        </w:tc>
        <w:tc>
          <w:tcPr>
            <w:tcW w:w="850" w:type="dxa"/>
            <w:tcBorders>
              <w:top w:val="single" w:color="auto" w:sz="4" w:space="0"/>
              <w:left w:val="single" w:color="auto" w:sz="4" w:space="0"/>
              <w:bottom w:val="single" w:color="auto" w:sz="4" w:space="0"/>
              <w:right w:val="single" w:color="auto" w:sz="4" w:space="0"/>
            </w:tcBorders>
            <w:vAlign w:val="center"/>
          </w:tcPr>
          <w:p w14:paraId="0CEDB08B">
            <w:r>
              <w:rPr>
                <w:color w:val="000000"/>
              </w:rPr>
              <w:t xml:space="preserve">Khay </w:t>
            </w:r>
          </w:p>
        </w:tc>
        <w:tc>
          <w:tcPr>
            <w:tcW w:w="709" w:type="dxa"/>
            <w:tcBorders>
              <w:top w:val="single" w:color="auto" w:sz="4" w:space="0"/>
              <w:left w:val="single" w:color="auto" w:sz="4" w:space="0"/>
              <w:bottom w:val="single" w:color="auto" w:sz="4" w:space="0"/>
              <w:right w:val="single" w:color="auto" w:sz="4" w:space="0"/>
            </w:tcBorders>
            <w:vAlign w:val="center"/>
          </w:tcPr>
          <w:p w14:paraId="384588A8">
            <w:r>
              <w:rPr>
                <w:color w:val="000000"/>
              </w:rPr>
              <w:t>850</w:t>
            </w:r>
          </w:p>
        </w:tc>
      </w:tr>
      <w:tr w14:paraId="53A8D8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567" w:type="dxa"/>
            <w:tcBorders>
              <w:top w:val="single" w:color="auto" w:sz="4" w:space="0"/>
              <w:left w:val="single" w:color="auto" w:sz="4" w:space="0"/>
              <w:bottom w:val="single" w:color="auto" w:sz="4" w:space="0"/>
              <w:right w:val="single" w:color="auto" w:sz="4" w:space="0"/>
            </w:tcBorders>
            <w:vAlign w:val="center"/>
          </w:tcPr>
          <w:p w14:paraId="53799C95">
            <w:r>
              <w:rPr>
                <w:color w:val="000000"/>
              </w:rPr>
              <w:t>1.2</w:t>
            </w:r>
          </w:p>
        </w:tc>
        <w:tc>
          <w:tcPr>
            <w:tcW w:w="2410" w:type="dxa"/>
            <w:tcBorders>
              <w:top w:val="single" w:color="auto" w:sz="4" w:space="0"/>
              <w:left w:val="single" w:color="auto" w:sz="4" w:space="0"/>
              <w:bottom w:val="single" w:color="auto" w:sz="4" w:space="0"/>
              <w:right w:val="single" w:color="auto" w:sz="4" w:space="0"/>
            </w:tcBorders>
            <w:vAlign w:val="center"/>
          </w:tcPr>
          <w:p w14:paraId="04784555">
            <w:r>
              <w:rPr>
                <w:color w:val="000000"/>
              </w:rPr>
              <w:t>Dụng cụ hút mẫu</w:t>
            </w:r>
            <w:r>
              <w:rPr>
                <w:color w:val="000000"/>
              </w:rPr>
              <w:br w:type="textWrapping"/>
            </w:r>
            <w:r>
              <w:rPr>
                <w:color w:val="000000"/>
              </w:rPr>
              <w:t>bệnh phẩm (đầu côn)</w:t>
            </w:r>
            <w:r>
              <w:rPr>
                <w:color w:val="000000"/>
              </w:rPr>
              <w:br w:type="textWrapping"/>
            </w:r>
            <w:r>
              <w:rPr>
                <w:color w:val="000000"/>
              </w:rPr>
              <w:t>chuyên dùng trong</w:t>
            </w:r>
            <w:r>
              <w:rPr>
                <w:color w:val="000000"/>
              </w:rPr>
              <w:br w:type="textWrapping"/>
            </w:r>
            <w:r>
              <w:rPr>
                <w:color w:val="000000"/>
              </w:rPr>
              <w:t>xét nghiệm ELISA</w:t>
            </w:r>
            <w:r>
              <w:rPr>
                <w:color w:val="000000"/>
              </w:rPr>
              <w:br w:type="textWrapping"/>
            </w:r>
            <w:r>
              <w:rPr>
                <w:color w:val="000000"/>
              </w:rPr>
              <w:t>thể tích 1100 µl</w:t>
            </w:r>
          </w:p>
        </w:tc>
        <w:tc>
          <w:tcPr>
            <w:tcW w:w="5954" w:type="dxa"/>
            <w:tcBorders>
              <w:top w:val="single" w:color="auto" w:sz="4" w:space="0"/>
              <w:left w:val="single" w:color="auto" w:sz="4" w:space="0"/>
              <w:bottom w:val="single" w:color="auto" w:sz="4" w:space="0"/>
              <w:right w:val="single" w:color="auto" w:sz="4" w:space="0"/>
            </w:tcBorders>
            <w:vAlign w:val="center"/>
          </w:tcPr>
          <w:p w14:paraId="3015C4F6">
            <w:r>
              <w:rPr>
                <w:color w:val="000000"/>
              </w:rPr>
              <w:t>- Dụng cụ hút mẫu bệnh phẩm đầu tip dẫn điện</w:t>
            </w:r>
            <w:r>
              <w:rPr>
                <w:color w:val="000000"/>
              </w:rPr>
              <w:br w:type="textWrapping"/>
            </w:r>
            <w:r>
              <w:rPr>
                <w:color w:val="000000"/>
              </w:rPr>
              <w:t>- Vật liệu tip: PP (Polypropylene)</w:t>
            </w:r>
            <w:r>
              <w:rPr>
                <w:color w:val="000000"/>
              </w:rPr>
              <w:br w:type="textWrapping"/>
            </w:r>
            <w:r>
              <w:rPr>
                <w:color w:val="000000"/>
              </w:rPr>
              <w:t xml:space="preserve">- Kích thước tip: Chiều dài: 97.0 mm, đồng tâm: </w:t>
            </w:r>
            <w:r>
              <w:rPr>
                <w:rFonts w:ascii="SimSun" w:hAnsi="SimSun" w:eastAsia="SimSun"/>
                <w:color w:val="000000"/>
              </w:rPr>
              <w:t xml:space="preserve">≤ </w:t>
            </w:r>
            <w:r>
              <w:rPr>
                <w:color w:val="000000"/>
              </w:rPr>
              <w:t>1.5</w:t>
            </w:r>
            <w:r>
              <w:rPr>
                <w:color w:val="000000"/>
              </w:rPr>
              <w:br w:type="textWrapping"/>
            </w:r>
            <w:r>
              <w:rPr>
                <w:color w:val="000000"/>
              </w:rPr>
              <w:t>- Thể tích:1100 µl</w:t>
            </w:r>
            <w:r>
              <w:rPr>
                <w:color w:val="000000"/>
              </w:rPr>
              <w:br w:type="textWrapping"/>
            </w:r>
            <w:r>
              <w:rPr>
                <w:color w:val="000000"/>
              </w:rPr>
              <w:t xml:space="preserve">- Quy cách đóng gói </w:t>
            </w:r>
            <w:r>
              <w:rPr>
                <w:rFonts w:ascii="SimSun" w:hAnsi="SimSun" w:eastAsia="SimSun"/>
                <w:color w:val="000000"/>
              </w:rPr>
              <w:t>≥</w:t>
            </w:r>
            <w:r>
              <w:rPr>
                <w:color w:val="000000"/>
              </w:rPr>
              <w:t>96 tips/khay</w:t>
            </w:r>
          </w:p>
        </w:tc>
        <w:tc>
          <w:tcPr>
            <w:tcW w:w="850" w:type="dxa"/>
            <w:tcBorders>
              <w:top w:val="single" w:color="auto" w:sz="4" w:space="0"/>
              <w:left w:val="single" w:color="auto" w:sz="4" w:space="0"/>
              <w:bottom w:val="single" w:color="auto" w:sz="4" w:space="0"/>
              <w:right w:val="single" w:color="auto" w:sz="4" w:space="0"/>
            </w:tcBorders>
            <w:vAlign w:val="center"/>
          </w:tcPr>
          <w:p w14:paraId="1F9D49A5">
            <w:r>
              <w:rPr>
                <w:color w:val="000000"/>
              </w:rPr>
              <w:t xml:space="preserve">Khay </w:t>
            </w:r>
          </w:p>
        </w:tc>
        <w:tc>
          <w:tcPr>
            <w:tcW w:w="709" w:type="dxa"/>
            <w:tcBorders>
              <w:top w:val="single" w:color="auto" w:sz="4" w:space="0"/>
              <w:left w:val="single" w:color="auto" w:sz="4" w:space="0"/>
              <w:bottom w:val="single" w:color="auto" w:sz="4" w:space="0"/>
              <w:right w:val="single" w:color="auto" w:sz="4" w:space="0"/>
            </w:tcBorders>
            <w:vAlign w:val="center"/>
          </w:tcPr>
          <w:p w14:paraId="2DDA6725">
            <w:r>
              <w:rPr>
                <w:color w:val="000000"/>
              </w:rPr>
              <w:t>150</w:t>
            </w:r>
          </w:p>
        </w:tc>
      </w:tr>
      <w:tr w14:paraId="61050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567" w:type="dxa"/>
            <w:tcBorders>
              <w:top w:val="single" w:color="auto" w:sz="4" w:space="0"/>
              <w:left w:val="single" w:color="auto" w:sz="4" w:space="0"/>
              <w:bottom w:val="single" w:color="auto" w:sz="4" w:space="0"/>
              <w:right w:val="single" w:color="auto" w:sz="4" w:space="0"/>
            </w:tcBorders>
            <w:vAlign w:val="center"/>
          </w:tcPr>
          <w:p w14:paraId="2F13FD27">
            <w:r>
              <w:rPr>
                <w:color w:val="000000"/>
              </w:rPr>
              <w:t>1.3</w:t>
            </w:r>
          </w:p>
        </w:tc>
        <w:tc>
          <w:tcPr>
            <w:tcW w:w="2410" w:type="dxa"/>
            <w:tcBorders>
              <w:top w:val="single" w:color="auto" w:sz="4" w:space="0"/>
              <w:left w:val="single" w:color="auto" w:sz="4" w:space="0"/>
              <w:bottom w:val="single" w:color="auto" w:sz="4" w:space="0"/>
              <w:right w:val="single" w:color="auto" w:sz="4" w:space="0"/>
            </w:tcBorders>
            <w:vAlign w:val="center"/>
          </w:tcPr>
          <w:p w14:paraId="12A8CEBE">
            <w:r>
              <w:rPr>
                <w:color w:val="000000"/>
              </w:rPr>
              <w:t>Plate pha loãng mẫu</w:t>
            </w:r>
            <w:r>
              <w:rPr>
                <w:color w:val="000000"/>
              </w:rPr>
              <w:br w:type="textWrapping"/>
            </w:r>
            <w:r>
              <w:rPr>
                <w:color w:val="000000"/>
              </w:rPr>
              <w:t>bệnh phẩm dùng cho</w:t>
            </w:r>
            <w:r>
              <w:rPr>
                <w:color w:val="000000"/>
              </w:rPr>
              <w:br w:type="textWrapping"/>
            </w:r>
            <w:r>
              <w:rPr>
                <w:color w:val="000000"/>
              </w:rPr>
              <w:t>máy Elisa tự động</w:t>
            </w:r>
          </w:p>
        </w:tc>
        <w:tc>
          <w:tcPr>
            <w:tcW w:w="5954" w:type="dxa"/>
            <w:tcBorders>
              <w:top w:val="single" w:color="auto" w:sz="4" w:space="0"/>
              <w:left w:val="single" w:color="auto" w:sz="4" w:space="0"/>
              <w:bottom w:val="single" w:color="auto" w:sz="4" w:space="0"/>
              <w:right w:val="single" w:color="auto" w:sz="4" w:space="0"/>
            </w:tcBorders>
            <w:vAlign w:val="center"/>
          </w:tcPr>
          <w:p w14:paraId="0C724BEB">
            <w:r>
              <w:rPr>
                <w:color w:val="000000"/>
              </w:rPr>
              <w:t>- Đĩa 96 giếng</w:t>
            </w:r>
            <w:r>
              <w:rPr>
                <w:color w:val="000000"/>
              </w:rPr>
              <w:br w:type="textWrapping"/>
            </w:r>
            <w:r>
              <w:rPr>
                <w:color w:val="000000"/>
              </w:rPr>
              <w:t>- Chất liệu: nhựa polystyrene</w:t>
            </w:r>
            <w:r>
              <w:rPr>
                <w:color w:val="000000"/>
              </w:rPr>
              <w:br w:type="textWrapping"/>
            </w:r>
            <w:r>
              <w:rPr>
                <w:color w:val="000000"/>
              </w:rPr>
              <w:t>- Thể tích tối đa trong khoảng từ 320-325μl</w:t>
            </w:r>
          </w:p>
        </w:tc>
        <w:tc>
          <w:tcPr>
            <w:tcW w:w="850" w:type="dxa"/>
            <w:tcBorders>
              <w:top w:val="single" w:color="auto" w:sz="4" w:space="0"/>
              <w:left w:val="single" w:color="auto" w:sz="4" w:space="0"/>
              <w:bottom w:val="single" w:color="auto" w:sz="4" w:space="0"/>
              <w:right w:val="single" w:color="auto" w:sz="4" w:space="0"/>
            </w:tcBorders>
            <w:vAlign w:val="center"/>
          </w:tcPr>
          <w:p w14:paraId="616F1662">
            <w:r>
              <w:rPr>
                <w:color w:val="000000"/>
              </w:rPr>
              <w:t xml:space="preserve">Cái </w:t>
            </w:r>
          </w:p>
        </w:tc>
        <w:tc>
          <w:tcPr>
            <w:tcW w:w="709" w:type="dxa"/>
            <w:tcBorders>
              <w:top w:val="single" w:color="auto" w:sz="4" w:space="0"/>
              <w:left w:val="single" w:color="auto" w:sz="4" w:space="0"/>
              <w:bottom w:val="single" w:color="auto" w:sz="4" w:space="0"/>
              <w:right w:val="single" w:color="auto" w:sz="4" w:space="0"/>
            </w:tcBorders>
            <w:vAlign w:val="center"/>
          </w:tcPr>
          <w:p w14:paraId="3335021F">
            <w:r>
              <w:rPr>
                <w:color w:val="000000"/>
              </w:rPr>
              <w:t>500</w:t>
            </w:r>
          </w:p>
        </w:tc>
      </w:tr>
      <w:tr w14:paraId="79DC96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0490" w:type="dxa"/>
            <w:gridSpan w:val="5"/>
            <w:tcBorders>
              <w:top w:val="single" w:color="auto" w:sz="4" w:space="0"/>
              <w:left w:val="single" w:color="auto" w:sz="4" w:space="0"/>
              <w:bottom w:val="single" w:color="auto" w:sz="4" w:space="0"/>
            </w:tcBorders>
            <w:vAlign w:val="center"/>
          </w:tcPr>
          <w:p w14:paraId="1F69B8B8">
            <w:pPr>
              <w:rPr>
                <w:sz w:val="20"/>
                <w:szCs w:val="20"/>
              </w:rPr>
            </w:pPr>
            <w:r>
              <w:rPr>
                <w:b/>
                <w:bCs/>
                <w:color w:val="000000"/>
              </w:rPr>
              <w:t>2. Hóa chất sử dụng cho máy xét nghiệm miễn dịch Cobas 8000 e602, hãng Roche Diagnostics.</w:t>
            </w:r>
          </w:p>
        </w:tc>
      </w:tr>
      <w:tr w14:paraId="44321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567" w:type="dxa"/>
            <w:tcBorders>
              <w:top w:val="single" w:color="auto" w:sz="4" w:space="0"/>
              <w:left w:val="single" w:color="auto" w:sz="4" w:space="0"/>
              <w:bottom w:val="single" w:color="auto" w:sz="4" w:space="0"/>
              <w:right w:val="single" w:color="auto" w:sz="4" w:space="0"/>
            </w:tcBorders>
            <w:vAlign w:val="center"/>
          </w:tcPr>
          <w:p w14:paraId="4C94996E">
            <w:r>
              <w:rPr>
                <w:color w:val="000000"/>
              </w:rPr>
              <w:t xml:space="preserve">2.1 </w:t>
            </w:r>
          </w:p>
        </w:tc>
        <w:tc>
          <w:tcPr>
            <w:tcW w:w="2410" w:type="dxa"/>
            <w:tcBorders>
              <w:top w:val="single" w:color="auto" w:sz="4" w:space="0"/>
              <w:left w:val="single" w:color="auto" w:sz="4" w:space="0"/>
              <w:bottom w:val="single" w:color="auto" w:sz="4" w:space="0"/>
              <w:right w:val="single" w:color="auto" w:sz="4" w:space="0"/>
            </w:tcBorders>
            <w:vAlign w:val="center"/>
          </w:tcPr>
          <w:p w14:paraId="46E8CD56">
            <w:r>
              <w:rPr>
                <w:color w:val="000000"/>
              </w:rPr>
              <w:t>Hóa chất định lượng</w:t>
            </w:r>
            <w:r>
              <w:rPr>
                <w:color w:val="000000"/>
              </w:rPr>
              <w:br w:type="textWrapping"/>
            </w:r>
            <w:r>
              <w:rPr>
                <w:color w:val="000000"/>
              </w:rPr>
              <w:t>PTH</w:t>
            </w:r>
          </w:p>
        </w:tc>
        <w:tc>
          <w:tcPr>
            <w:tcW w:w="5954" w:type="dxa"/>
            <w:tcBorders>
              <w:top w:val="single" w:color="auto" w:sz="4" w:space="0"/>
              <w:left w:val="single" w:color="auto" w:sz="4" w:space="0"/>
              <w:bottom w:val="single" w:color="auto" w:sz="4" w:space="0"/>
              <w:right w:val="single" w:color="auto" w:sz="4" w:space="0"/>
            </w:tcBorders>
            <w:vAlign w:val="center"/>
          </w:tcPr>
          <w:p w14:paraId="5D199DD1">
            <w:r>
              <w:rPr>
                <w:color w:val="000000"/>
              </w:rPr>
              <w:t>- Hóa chất dùng để định lượng nội tiết tố tuyến cận giáp</w:t>
            </w:r>
            <w:r>
              <w:rPr>
                <w:color w:val="000000"/>
              </w:rPr>
              <w:br w:type="textWrapping"/>
            </w:r>
            <w:r>
              <w:rPr>
                <w:color w:val="000000"/>
              </w:rPr>
              <w:t>trong huyết thanh và huyết tương người</w:t>
            </w:r>
            <w:r>
              <w:rPr>
                <w:color w:val="000000"/>
              </w:rPr>
              <w:br w:type="textWrapping"/>
            </w:r>
            <w:r>
              <w:rPr>
                <w:color w:val="000000"/>
              </w:rPr>
              <w:t>- Thành phần gồm:</w:t>
            </w:r>
            <w:r>
              <w:rPr>
                <w:color w:val="000000"/>
              </w:rPr>
              <w:br w:type="textWrapping"/>
            </w:r>
            <w:r>
              <w:rPr>
                <w:rFonts w:ascii="Symbol" w:hAnsi="Symbol"/>
                <w:color w:val="000000"/>
              </w:rPr>
              <w:sym w:font="Symbol" w:char="F0B7"/>
            </w:r>
            <w:r>
              <w:rPr>
                <w:rFonts w:ascii="Symbol" w:hAnsi="Symbol"/>
                <w:color w:val="000000"/>
              </w:rPr>
              <w:t></w:t>
            </w:r>
            <w:r>
              <w:rPr>
                <w:color w:val="000000"/>
              </w:rPr>
              <w:t>Vi hạt phủ Streptavidin</w:t>
            </w:r>
            <w:r>
              <w:rPr>
                <w:color w:val="000000"/>
              </w:rPr>
              <w:br w:type="textWrapping"/>
            </w:r>
            <w:r>
              <w:rPr>
                <w:rFonts w:ascii="Symbol" w:hAnsi="Symbol"/>
                <w:color w:val="000000"/>
              </w:rPr>
              <w:sym w:font="Symbol" w:char="F0B7"/>
            </w:r>
            <w:r>
              <w:rPr>
                <w:rFonts w:ascii="Symbol" w:hAnsi="Symbol"/>
                <w:color w:val="000000"/>
              </w:rPr>
              <w:t></w:t>
            </w:r>
            <w:r>
              <w:rPr>
                <w:color w:val="000000"/>
              </w:rPr>
              <w:t>Kháng thể đơn dòng kháng PTH đánh dấu biotin,</w:t>
            </w:r>
            <w:r>
              <w:rPr>
                <w:color w:val="000000"/>
              </w:rPr>
              <w:br w:type="textWrapping"/>
            </w:r>
            <w:r>
              <w:rPr>
                <w:color w:val="000000"/>
              </w:rPr>
              <w:t>đệm phosphate</w:t>
            </w:r>
            <w:r>
              <w:rPr>
                <w:color w:val="000000"/>
              </w:rPr>
              <w:br w:type="textWrapping"/>
            </w:r>
            <w:r>
              <w:rPr>
                <w:rFonts w:ascii="Symbol" w:hAnsi="Symbol"/>
                <w:color w:val="000000"/>
              </w:rPr>
              <w:sym w:font="Symbol" w:char="F0B7"/>
            </w:r>
            <w:r>
              <w:rPr>
                <w:rFonts w:ascii="Symbol" w:hAnsi="Symbol"/>
                <w:color w:val="000000"/>
              </w:rPr>
              <w:t></w:t>
            </w:r>
            <w:r>
              <w:rPr>
                <w:color w:val="000000"/>
              </w:rPr>
              <w:t>Kháng thể đơn dòng kháng PTH đánh dấu phức</w:t>
            </w:r>
            <w:r>
              <w:rPr>
                <w:color w:val="000000"/>
              </w:rPr>
              <w:br w:type="textWrapping"/>
            </w:r>
            <w:r>
              <w:rPr>
                <w:color w:val="000000"/>
              </w:rPr>
              <w:t>hợp ruthenium, đệm phosphate</w:t>
            </w:r>
            <w:r>
              <w:rPr>
                <w:color w:val="000000"/>
              </w:rPr>
              <w:br w:type="textWrapping"/>
            </w:r>
            <w:r>
              <w:rPr>
                <w:color w:val="000000"/>
              </w:rPr>
              <w:t>- Sử dụng được cho máy xét nghiệm miễn dịch Cobas</w:t>
            </w:r>
            <w:r>
              <w:rPr>
                <w:color w:val="000000"/>
              </w:rPr>
              <w:br w:type="textWrapping"/>
            </w:r>
            <w:r>
              <w:rPr>
                <w:color w:val="000000"/>
              </w:rPr>
              <w:t>8000 e602, hãng Roche Diagnostics.</w:t>
            </w:r>
          </w:p>
        </w:tc>
        <w:tc>
          <w:tcPr>
            <w:tcW w:w="850" w:type="dxa"/>
            <w:tcBorders>
              <w:top w:val="single" w:color="auto" w:sz="4" w:space="0"/>
              <w:left w:val="single" w:color="auto" w:sz="4" w:space="0"/>
              <w:bottom w:val="single" w:color="auto" w:sz="4" w:space="0"/>
              <w:right w:val="single" w:color="auto" w:sz="4" w:space="0"/>
            </w:tcBorders>
            <w:vAlign w:val="center"/>
          </w:tcPr>
          <w:p w14:paraId="0AD5CD3F">
            <w:r>
              <w:rPr>
                <w:color w:val="000000"/>
              </w:rPr>
              <w:t xml:space="preserve">Test </w:t>
            </w:r>
          </w:p>
        </w:tc>
        <w:tc>
          <w:tcPr>
            <w:tcW w:w="709" w:type="dxa"/>
            <w:tcBorders>
              <w:top w:val="single" w:color="auto" w:sz="4" w:space="0"/>
              <w:left w:val="single" w:color="auto" w:sz="4" w:space="0"/>
              <w:bottom w:val="single" w:color="auto" w:sz="4" w:space="0"/>
              <w:right w:val="single" w:color="auto" w:sz="4" w:space="0"/>
            </w:tcBorders>
            <w:vAlign w:val="center"/>
          </w:tcPr>
          <w:p w14:paraId="23056D79">
            <w:r>
              <w:rPr>
                <w:color w:val="000000"/>
              </w:rPr>
              <w:t>2000</w:t>
            </w:r>
          </w:p>
        </w:tc>
      </w:tr>
      <w:tr w14:paraId="48E956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567" w:type="dxa"/>
            <w:tcBorders>
              <w:top w:val="single" w:color="auto" w:sz="4" w:space="0"/>
              <w:left w:val="single" w:color="auto" w:sz="4" w:space="0"/>
              <w:bottom w:val="single" w:color="auto" w:sz="4" w:space="0"/>
              <w:right w:val="single" w:color="auto" w:sz="4" w:space="0"/>
            </w:tcBorders>
            <w:vAlign w:val="center"/>
          </w:tcPr>
          <w:p w14:paraId="0C1DE4EC">
            <w:pPr>
              <w:spacing w:before="60" w:after="60" w:line="276" w:lineRule="auto"/>
              <w:jc w:val="center"/>
              <w:rPr>
                <w:bCs/>
              </w:rPr>
            </w:pPr>
            <w:r>
              <w:rPr>
                <w:bCs/>
              </w:rPr>
              <w:t>2.2</w:t>
            </w:r>
          </w:p>
        </w:tc>
        <w:tc>
          <w:tcPr>
            <w:tcW w:w="2410" w:type="dxa"/>
            <w:tcBorders>
              <w:top w:val="single" w:color="auto" w:sz="4" w:space="0"/>
              <w:left w:val="single" w:color="auto" w:sz="4" w:space="0"/>
              <w:bottom w:val="single" w:color="auto" w:sz="4" w:space="0"/>
              <w:right w:val="single" w:color="auto" w:sz="4" w:space="0"/>
            </w:tcBorders>
            <w:vAlign w:val="center"/>
          </w:tcPr>
          <w:p w14:paraId="2055224E">
            <w:pPr>
              <w:spacing w:before="60" w:after="60" w:line="276" w:lineRule="auto"/>
              <w:rPr>
                <w:bCs/>
              </w:rPr>
            </w:pPr>
            <w:r>
              <w:rPr>
                <w:bCs/>
              </w:rPr>
              <w:t>Hóa chất hiệu chuẩn xét nghiệm PTH</w:t>
            </w:r>
          </w:p>
        </w:tc>
        <w:tc>
          <w:tcPr>
            <w:tcW w:w="5954" w:type="dxa"/>
            <w:tcBorders>
              <w:top w:val="single" w:color="auto" w:sz="4" w:space="0"/>
              <w:left w:val="single" w:color="auto" w:sz="4" w:space="0"/>
              <w:bottom w:val="single" w:color="auto" w:sz="4" w:space="0"/>
              <w:right w:val="single" w:color="auto" w:sz="4" w:space="0"/>
            </w:tcBorders>
            <w:vAlign w:val="center"/>
          </w:tcPr>
          <w:p w14:paraId="620E6B85">
            <w:pPr>
              <w:numPr>
                <w:ilvl w:val="0"/>
                <w:numId w:val="1"/>
              </w:numPr>
              <w:spacing w:before="60" w:after="60" w:line="276" w:lineRule="auto"/>
              <w:ind w:left="389"/>
              <w:rPr>
                <w:bCs/>
              </w:rPr>
            </w:pPr>
            <w:r>
              <w:rPr>
                <w:bCs/>
              </w:rPr>
              <w:t>Hóa chất dùng để hiệu chuẩn xét nghiệm định lượng PTH trên máy xét nghiệm miễn dịch</w:t>
            </w:r>
          </w:p>
          <w:p w14:paraId="7DAC1B90">
            <w:pPr>
              <w:numPr>
                <w:ilvl w:val="0"/>
                <w:numId w:val="1"/>
              </w:numPr>
              <w:spacing w:before="60" w:after="60" w:line="276" w:lineRule="auto"/>
              <w:ind w:left="389"/>
              <w:rPr>
                <w:bCs/>
              </w:rPr>
            </w:pPr>
            <w:r>
              <w:rPr>
                <w:bCs/>
              </w:rPr>
              <w:t>Thành phần: huyết thanh người đông khô chứa PTH tổng hợp với 2 khoảng nồng độ.</w:t>
            </w:r>
          </w:p>
          <w:p w14:paraId="514191BF">
            <w:pPr>
              <w:numPr>
                <w:ilvl w:val="0"/>
                <w:numId w:val="1"/>
              </w:numPr>
              <w:spacing w:before="60" w:after="60" w:line="276" w:lineRule="auto"/>
              <w:ind w:left="389"/>
              <w:rPr>
                <w:bCs/>
              </w:rPr>
            </w:pPr>
            <w:r>
              <w:rPr>
                <w:bCs/>
              </w:rPr>
              <w:t>Sử dụng được cho máy xét nghiệm miễn dịch Cobas 8000 e602, hãng Roche Diagnostics.</w:t>
            </w:r>
          </w:p>
        </w:tc>
        <w:tc>
          <w:tcPr>
            <w:tcW w:w="850" w:type="dxa"/>
            <w:tcBorders>
              <w:top w:val="single" w:color="auto" w:sz="4" w:space="0"/>
              <w:left w:val="single" w:color="auto" w:sz="4" w:space="0"/>
              <w:bottom w:val="single" w:color="auto" w:sz="4" w:space="0"/>
              <w:right w:val="single" w:color="auto" w:sz="4" w:space="0"/>
            </w:tcBorders>
            <w:vAlign w:val="center"/>
          </w:tcPr>
          <w:p w14:paraId="6216E3D9">
            <w:pPr>
              <w:spacing w:before="60" w:after="60" w:line="276" w:lineRule="auto"/>
              <w:jc w:val="center"/>
              <w:rPr>
                <w:bCs/>
              </w:rPr>
            </w:pPr>
            <w:r>
              <w:rPr>
                <w:bCs/>
              </w:rPr>
              <w:t>ml</w:t>
            </w:r>
          </w:p>
        </w:tc>
        <w:tc>
          <w:tcPr>
            <w:tcW w:w="709" w:type="dxa"/>
            <w:tcBorders>
              <w:top w:val="single" w:color="auto" w:sz="4" w:space="0"/>
              <w:left w:val="single" w:color="auto" w:sz="4" w:space="0"/>
              <w:bottom w:val="single" w:color="auto" w:sz="4" w:space="0"/>
              <w:right w:val="single" w:color="auto" w:sz="4" w:space="0"/>
            </w:tcBorders>
            <w:vAlign w:val="center"/>
          </w:tcPr>
          <w:p w14:paraId="3E6B068E">
            <w:pPr>
              <w:spacing w:before="60" w:after="60" w:line="276" w:lineRule="auto"/>
              <w:jc w:val="center"/>
              <w:rPr>
                <w:bCs/>
              </w:rPr>
            </w:pPr>
            <w:r>
              <w:rPr>
                <w:bCs/>
              </w:rPr>
              <w:t>16</w:t>
            </w:r>
          </w:p>
        </w:tc>
      </w:tr>
      <w:tr w14:paraId="44EB62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567" w:type="dxa"/>
            <w:tcBorders>
              <w:top w:val="single" w:color="auto" w:sz="4" w:space="0"/>
              <w:left w:val="single" w:color="auto" w:sz="4" w:space="0"/>
              <w:bottom w:val="single" w:color="auto" w:sz="4" w:space="0"/>
              <w:right w:val="single" w:color="auto" w:sz="4" w:space="0"/>
            </w:tcBorders>
            <w:vAlign w:val="center"/>
          </w:tcPr>
          <w:p w14:paraId="3B378076">
            <w:pPr>
              <w:spacing w:before="60" w:after="60" w:line="276" w:lineRule="auto"/>
              <w:jc w:val="center"/>
              <w:rPr>
                <w:bCs/>
              </w:rPr>
            </w:pPr>
            <w:r>
              <w:rPr>
                <w:bCs/>
              </w:rPr>
              <w:t>2.3</w:t>
            </w:r>
          </w:p>
        </w:tc>
        <w:tc>
          <w:tcPr>
            <w:tcW w:w="2410" w:type="dxa"/>
            <w:tcBorders>
              <w:top w:val="single" w:color="auto" w:sz="4" w:space="0"/>
              <w:left w:val="single" w:color="auto" w:sz="4" w:space="0"/>
              <w:bottom w:val="single" w:color="auto" w:sz="4" w:space="0"/>
              <w:right w:val="single" w:color="auto" w:sz="4" w:space="0"/>
            </w:tcBorders>
            <w:vAlign w:val="center"/>
          </w:tcPr>
          <w:p w14:paraId="4667734D">
            <w:pPr>
              <w:spacing w:before="60" w:after="60" w:line="276" w:lineRule="auto"/>
              <w:rPr>
                <w:bCs/>
              </w:rPr>
            </w:pPr>
            <w:r>
              <w:rPr>
                <w:bCs/>
              </w:rPr>
              <w:t>Hóa chất định lượng Phospho</w:t>
            </w:r>
          </w:p>
        </w:tc>
        <w:tc>
          <w:tcPr>
            <w:tcW w:w="5954" w:type="dxa"/>
            <w:tcBorders>
              <w:top w:val="single" w:color="auto" w:sz="4" w:space="0"/>
              <w:left w:val="single" w:color="auto" w:sz="4" w:space="0"/>
              <w:bottom w:val="single" w:color="auto" w:sz="4" w:space="0"/>
              <w:right w:val="single" w:color="auto" w:sz="4" w:space="0"/>
            </w:tcBorders>
            <w:vAlign w:val="center"/>
          </w:tcPr>
          <w:p w14:paraId="633418BD">
            <w:pPr>
              <w:numPr>
                <w:ilvl w:val="0"/>
                <w:numId w:val="2"/>
              </w:numPr>
              <w:spacing w:before="60" w:after="60" w:line="276" w:lineRule="auto"/>
              <w:ind w:left="389"/>
              <w:rPr>
                <w:bCs/>
              </w:rPr>
            </w:pPr>
            <w:r>
              <w:rPr>
                <w:bCs/>
              </w:rPr>
              <w:t>Hóa chất dùng để định lượng phospho trong huyết thanh, huyết tương và nước tiểu người</w:t>
            </w:r>
          </w:p>
          <w:p w14:paraId="234BBD37">
            <w:pPr>
              <w:numPr>
                <w:ilvl w:val="0"/>
                <w:numId w:val="2"/>
              </w:numPr>
              <w:spacing w:before="60" w:after="60" w:line="276" w:lineRule="auto"/>
              <w:ind w:left="389"/>
              <w:rPr>
                <w:bCs/>
              </w:rPr>
            </w:pPr>
            <w:r>
              <w:rPr>
                <w:bCs/>
              </w:rPr>
              <w:t>Thành phần: Acid sulfuric, Ammonium molybdate</w:t>
            </w:r>
          </w:p>
          <w:p w14:paraId="76759D53">
            <w:pPr>
              <w:numPr>
                <w:ilvl w:val="0"/>
                <w:numId w:val="2"/>
              </w:numPr>
              <w:spacing w:before="60" w:after="60" w:line="276" w:lineRule="auto"/>
              <w:ind w:left="389"/>
              <w:rPr>
                <w:bCs/>
              </w:rPr>
            </w:pPr>
            <w:r>
              <w:rPr>
                <w:bCs/>
              </w:rPr>
              <w:t>Sử dụng được cho máy xét nghiệm sinh hóa Cobas 8000 c702, hãng Roche Diagnostics.</w:t>
            </w:r>
          </w:p>
        </w:tc>
        <w:tc>
          <w:tcPr>
            <w:tcW w:w="850" w:type="dxa"/>
            <w:tcBorders>
              <w:top w:val="single" w:color="auto" w:sz="4" w:space="0"/>
              <w:left w:val="single" w:color="auto" w:sz="4" w:space="0"/>
              <w:bottom w:val="single" w:color="auto" w:sz="4" w:space="0"/>
              <w:right w:val="single" w:color="auto" w:sz="4" w:space="0"/>
            </w:tcBorders>
            <w:vAlign w:val="center"/>
          </w:tcPr>
          <w:p w14:paraId="4A3167B5">
            <w:pPr>
              <w:spacing w:before="60" w:after="60" w:line="276" w:lineRule="auto"/>
              <w:jc w:val="center"/>
              <w:rPr>
                <w:bCs/>
              </w:rPr>
            </w:pPr>
            <w:r>
              <w:rPr>
                <w:bCs/>
              </w:rPr>
              <w:t>Test</w:t>
            </w:r>
          </w:p>
        </w:tc>
        <w:tc>
          <w:tcPr>
            <w:tcW w:w="709" w:type="dxa"/>
            <w:tcBorders>
              <w:top w:val="single" w:color="auto" w:sz="4" w:space="0"/>
              <w:left w:val="single" w:color="auto" w:sz="4" w:space="0"/>
              <w:bottom w:val="single" w:color="auto" w:sz="4" w:space="0"/>
              <w:right w:val="single" w:color="auto" w:sz="4" w:space="0"/>
            </w:tcBorders>
            <w:vAlign w:val="center"/>
          </w:tcPr>
          <w:p w14:paraId="216E84D8">
            <w:pPr>
              <w:spacing w:before="60" w:after="60" w:line="276" w:lineRule="auto"/>
              <w:jc w:val="center"/>
              <w:rPr>
                <w:bCs/>
              </w:rPr>
            </w:pPr>
            <w:r>
              <w:rPr>
                <w:bCs/>
              </w:rPr>
              <w:t>2400</w:t>
            </w:r>
          </w:p>
        </w:tc>
      </w:tr>
    </w:tbl>
    <w:p w14:paraId="6CAF9810">
      <w:pPr>
        <w:spacing w:before="40" w:after="120" w:line="276" w:lineRule="auto"/>
        <w:jc w:val="center"/>
        <w:rPr>
          <w:b/>
          <w:bCs/>
          <w:sz w:val="28"/>
          <w:szCs w:val="28"/>
        </w:rPr>
      </w:pPr>
    </w:p>
    <w:p w14:paraId="0E2EAC3F">
      <w:pPr>
        <w:widowControl w:val="0"/>
        <w:rPr>
          <w:i/>
          <w:iCs/>
          <w:sz w:val="28"/>
          <w:szCs w:val="28"/>
        </w:rPr>
        <w:sectPr>
          <w:footnotePr>
            <w:numStart w:val="2"/>
          </w:footnotePr>
          <w:type w:val="continuous"/>
          <w:pgSz w:w="11900" w:h="16840"/>
          <w:pgMar w:top="1440" w:right="1440" w:bottom="1440" w:left="1440" w:header="0" w:footer="6" w:gutter="0"/>
          <w:cols w:space="720" w:num="1"/>
          <w:docGrid w:linePitch="326" w:charSpace="0"/>
        </w:sectPr>
      </w:pPr>
    </w:p>
    <w:p w14:paraId="1BE3410E">
      <w:pPr>
        <w:widowControl w:val="0"/>
        <w:jc w:val="center"/>
        <w:rPr>
          <w:b/>
          <w:bCs/>
          <w:sz w:val="28"/>
          <w:szCs w:val="28"/>
          <w:shd w:val="clear" w:color="auto" w:fill="FFFFFF"/>
          <w:lang w:val="vi-VN" w:eastAsia="vi-VN"/>
        </w:rPr>
      </w:pPr>
      <w:r>
        <w:rPr>
          <w:b/>
          <w:bCs/>
          <w:sz w:val="28"/>
          <w:szCs w:val="28"/>
          <w:shd w:val="clear" w:color="auto" w:fill="FFFFFF"/>
          <w:lang w:val="vi-VN" w:eastAsia="vi-VN"/>
        </w:rPr>
        <w:t>Mẫu báo giá</w:t>
      </w:r>
    </w:p>
    <w:p w14:paraId="38201BAD">
      <w:pPr>
        <w:widowControl w:val="0"/>
        <w:jc w:val="center"/>
        <w:rPr>
          <w:b/>
          <w:bCs/>
          <w:sz w:val="28"/>
          <w:szCs w:val="28"/>
          <w:shd w:val="clear" w:color="auto" w:fill="FFFFFF"/>
          <w:lang w:val="vi-VN" w:eastAsia="vi-VN"/>
        </w:rPr>
      </w:pPr>
      <w:r>
        <w:rPr>
          <w:b/>
          <w:bCs/>
          <w:sz w:val="26"/>
          <w:szCs w:val="26"/>
        </w:rPr>
        <w:t>Gói thầu</w:t>
      </w:r>
      <w:r>
        <w:rPr>
          <w:b/>
          <w:spacing w:val="-4"/>
          <w:sz w:val="28"/>
          <w:szCs w:val="28"/>
          <w:shd w:val="clear" w:color="auto" w:fill="FFFFFF"/>
        </w:rPr>
        <w:t xml:space="preserve"> </w:t>
      </w:r>
      <w:r>
        <w:rPr>
          <w:b/>
          <w:bCs/>
          <w:sz w:val="28"/>
          <w:szCs w:val="28"/>
          <w:shd w:val="clear" w:color="auto" w:fill="FFFFFF"/>
          <w:lang w:eastAsia="vi-VN"/>
        </w:rPr>
        <w:t>Mua sắm vật tư, hóa chất xét nghiệm năm 2026 – 2028 (Đợt 4)</w:t>
      </w:r>
    </w:p>
    <w:p w14:paraId="2A62F3DF">
      <w:pPr>
        <w:widowControl w:val="0"/>
        <w:jc w:val="center"/>
        <w:rPr>
          <w:b/>
          <w:bCs/>
          <w:sz w:val="28"/>
          <w:szCs w:val="28"/>
          <w:shd w:val="clear" w:color="auto" w:fill="FFFFFF"/>
          <w:lang w:val="vi-VN" w:eastAsia="vi-VN"/>
        </w:rPr>
      </w:pPr>
      <w:r>
        <w:rPr>
          <w:b/>
          <w:bCs/>
          <w:sz w:val="28"/>
          <w:szCs w:val="28"/>
          <w:shd w:val="clear" w:color="auto" w:fill="FFFFFF"/>
          <w:lang w:val="vi-VN" w:eastAsia="vi-VN"/>
        </w:rPr>
        <w:t>BÁO GIÁ</w:t>
      </w:r>
    </w:p>
    <w:p w14:paraId="01E3AD57">
      <w:pPr>
        <w:widowControl w:val="0"/>
        <w:rPr>
          <w:bCs/>
          <w:sz w:val="28"/>
          <w:szCs w:val="28"/>
          <w:shd w:val="clear" w:color="auto" w:fill="FFFFFF"/>
          <w:lang w:val="vi-VN" w:eastAsia="vi-VN"/>
        </w:rPr>
      </w:pPr>
      <w:bookmarkStart w:id="0" w:name="bookmark9"/>
      <w:bookmarkStart w:id="1" w:name="bookmark8"/>
    </w:p>
    <w:p w14:paraId="0E7A2386">
      <w:pPr>
        <w:widowControl w:val="0"/>
        <w:jc w:val="center"/>
        <w:rPr>
          <w:bCs/>
          <w:sz w:val="28"/>
          <w:szCs w:val="28"/>
          <w:shd w:val="clear" w:color="auto" w:fill="FFFFFF"/>
          <w:lang w:val="vi-VN" w:eastAsia="vi-VN"/>
        </w:rPr>
      </w:pPr>
      <w:r>
        <w:rPr>
          <w:bCs/>
          <w:sz w:val="28"/>
          <w:szCs w:val="28"/>
          <w:shd w:val="clear" w:color="auto" w:fill="FFFFFF"/>
          <w:lang w:val="vi-VN" w:eastAsia="vi-VN"/>
        </w:rPr>
        <w:t>Kính gửi: ... [ghi rõ tên của Chủ đầu tư</w:t>
      </w:r>
      <w:r>
        <w:rPr>
          <w:bCs/>
          <w:sz w:val="28"/>
          <w:szCs w:val="28"/>
          <w:shd w:val="clear" w:color="auto" w:fill="FFFFFF"/>
          <w:lang w:eastAsia="vi-VN"/>
        </w:rPr>
        <w:t xml:space="preserve"> </w:t>
      </w:r>
      <w:r>
        <w:rPr>
          <w:bCs/>
          <w:sz w:val="28"/>
          <w:szCs w:val="28"/>
          <w:shd w:val="clear" w:color="auto" w:fill="FFFFFF"/>
          <w:lang w:val="vi-VN" w:eastAsia="vi-VN"/>
        </w:rPr>
        <w:t>yêu cầu báo giá</w:t>
      </w:r>
      <w:bookmarkEnd w:id="0"/>
      <w:bookmarkEnd w:id="1"/>
      <w:r>
        <w:rPr>
          <w:bCs/>
          <w:sz w:val="28"/>
          <w:szCs w:val="28"/>
          <w:shd w:val="clear" w:color="auto" w:fill="FFFFFF"/>
          <w:lang w:val="vi-VN" w:eastAsia="vi-VN"/>
        </w:rPr>
        <w:t>]</w:t>
      </w:r>
    </w:p>
    <w:p w14:paraId="49ECDCF5">
      <w:pPr>
        <w:widowControl w:val="0"/>
        <w:rPr>
          <w:bCs/>
          <w:sz w:val="28"/>
          <w:szCs w:val="28"/>
          <w:shd w:val="clear" w:color="auto" w:fill="FFFFFF"/>
          <w:lang w:val="vi-VN" w:eastAsia="vi-VN"/>
        </w:rPr>
      </w:pPr>
    </w:p>
    <w:p w14:paraId="6C9FACDE">
      <w:pPr>
        <w:widowControl w:val="0"/>
        <w:spacing w:line="276" w:lineRule="auto"/>
        <w:ind w:firstLine="720"/>
        <w:jc w:val="both"/>
        <w:rPr>
          <w:bCs/>
          <w:sz w:val="28"/>
          <w:szCs w:val="28"/>
          <w:shd w:val="clear" w:color="auto" w:fill="FFFFFF"/>
          <w:lang w:eastAsia="vi-VN"/>
        </w:rPr>
      </w:pPr>
      <w:r>
        <w:rPr>
          <w:bCs/>
          <w:sz w:val="28"/>
          <w:szCs w:val="28"/>
          <w:shd w:val="clear" w:color="auto" w:fill="FFFFFF"/>
          <w:lang w:eastAsia="vi-VN"/>
        </w:rPr>
        <w:t xml:space="preserve">Trên cơ sở yêu cầu báo giá của.... </w:t>
      </w:r>
      <w:r>
        <w:rPr>
          <w:bCs/>
          <w:i/>
          <w:iCs/>
          <w:sz w:val="28"/>
          <w:szCs w:val="28"/>
          <w:shd w:val="clear" w:color="auto" w:fill="FFFFFF"/>
          <w:lang w:eastAsia="vi-VN"/>
        </w:rPr>
        <w:t>[ghi rõ tên của Chủ đầu tư yêu cầu báo giá],</w:t>
      </w:r>
      <w:r>
        <w:rPr>
          <w:bCs/>
          <w:sz w:val="28"/>
          <w:szCs w:val="28"/>
          <w:shd w:val="clear" w:color="auto" w:fill="FFFFFF"/>
          <w:lang w:eastAsia="vi-VN"/>
        </w:rPr>
        <w:t xml:space="preserve"> chúng </w:t>
      </w:r>
      <w:r>
        <w:rPr>
          <w:bCs/>
          <w:i/>
          <w:iCs/>
          <w:sz w:val="28"/>
          <w:szCs w:val="28"/>
          <w:shd w:val="clear" w:color="auto" w:fill="FFFFFF"/>
          <w:lang w:eastAsia="vi-VN"/>
        </w:rPr>
        <w:t>tôi....[ghi tên, địa chỉ của hãng sản xuất, nhà cung cấp; trường hợp nhiều hãng sản xuất, nhà cung cấp cùng tham gia trong một báo giá (gọi chung là liên danh) thì ghi rõ tên, địa chỉ của các thành viên liên danh]</w:t>
      </w:r>
      <w:r>
        <w:rPr>
          <w:bCs/>
          <w:sz w:val="28"/>
          <w:szCs w:val="28"/>
          <w:shd w:val="clear" w:color="auto" w:fill="FFFFFF"/>
          <w:lang w:eastAsia="vi-VN"/>
        </w:rPr>
        <w:t xml:space="preserve"> báo giá cho các loại vật tư, hoá chất, thiết bị y tế như sau:</w:t>
      </w:r>
    </w:p>
    <w:p w14:paraId="5A05E8E4">
      <w:pPr>
        <w:widowControl w:val="0"/>
        <w:spacing w:after="120"/>
        <w:ind w:firstLine="720"/>
        <w:jc w:val="both"/>
        <w:rPr>
          <w:bCs/>
          <w:sz w:val="28"/>
          <w:szCs w:val="28"/>
          <w:shd w:val="clear" w:color="auto" w:fill="FFFFFF"/>
          <w:lang w:eastAsia="vi-VN"/>
        </w:rPr>
      </w:pPr>
      <w:r>
        <w:rPr>
          <w:bCs/>
          <w:sz w:val="28"/>
          <w:szCs w:val="28"/>
          <w:shd w:val="clear" w:color="auto" w:fill="FFFFFF"/>
          <w:lang w:eastAsia="vi-VN"/>
        </w:rPr>
        <w:t xml:space="preserve">1. Báo giá cho các </w:t>
      </w:r>
      <w:r>
        <w:rPr>
          <w:sz w:val="28"/>
          <w:szCs w:val="28"/>
          <w:shd w:val="clear" w:color="auto" w:fill="FFFFFF"/>
          <w:lang w:eastAsia="vi-VN"/>
        </w:rPr>
        <w:t>thiết bị y tế và dịch vụ liên quan :</w:t>
      </w:r>
    </w:p>
    <w:tbl>
      <w:tblPr>
        <w:tblStyle w:val="3"/>
        <w:tblW w:w="5773" w:type="pct"/>
        <w:jc w:val="center"/>
        <w:tblLayout w:type="autofit"/>
        <w:tblCellMar>
          <w:top w:w="0" w:type="dxa"/>
          <w:left w:w="0" w:type="dxa"/>
          <w:bottom w:w="0" w:type="dxa"/>
          <w:right w:w="0" w:type="dxa"/>
        </w:tblCellMar>
      </w:tblPr>
      <w:tblGrid>
        <w:gridCol w:w="580"/>
        <w:gridCol w:w="977"/>
        <w:gridCol w:w="714"/>
        <w:gridCol w:w="877"/>
        <w:gridCol w:w="714"/>
        <w:gridCol w:w="772"/>
        <w:gridCol w:w="480"/>
        <w:gridCol w:w="710"/>
        <w:gridCol w:w="845"/>
        <w:gridCol w:w="603"/>
        <w:gridCol w:w="603"/>
        <w:gridCol w:w="864"/>
        <w:gridCol w:w="866"/>
        <w:gridCol w:w="831"/>
      </w:tblGrid>
      <w:tr w14:paraId="1656AC21">
        <w:tblPrEx>
          <w:tblCellMar>
            <w:top w:w="0" w:type="dxa"/>
            <w:left w:w="0" w:type="dxa"/>
            <w:bottom w:w="0" w:type="dxa"/>
            <w:right w:w="0" w:type="dxa"/>
          </w:tblCellMar>
        </w:tblPrEx>
        <w:trPr>
          <w:trHeight w:val="1820" w:hRule="atLeast"/>
          <w:jc w:val="center"/>
        </w:trPr>
        <w:tc>
          <w:tcPr>
            <w:tcW w:w="278" w:type="pct"/>
            <w:tcBorders>
              <w:top w:val="single" w:color="auto" w:sz="4" w:space="0"/>
              <w:left w:val="single" w:color="auto" w:sz="4" w:space="0"/>
              <w:bottom w:val="nil"/>
              <w:right w:val="nil"/>
            </w:tcBorders>
            <w:shd w:val="clear" w:color="auto" w:fill="FFFFFF"/>
            <w:vAlign w:val="center"/>
          </w:tcPr>
          <w:p w14:paraId="0F4D6FCE">
            <w:pPr>
              <w:widowControl w:val="0"/>
              <w:jc w:val="center"/>
              <w:rPr>
                <w:b/>
                <w:bCs/>
                <w:sz w:val="26"/>
                <w:szCs w:val="26"/>
                <w:shd w:val="clear" w:color="auto" w:fill="FFFFFF"/>
                <w:lang w:val="vi-VN" w:eastAsia="vi-VN"/>
              </w:rPr>
            </w:pPr>
            <w:r>
              <w:rPr>
                <w:b/>
                <w:bCs/>
                <w:sz w:val="26"/>
                <w:szCs w:val="26"/>
                <w:shd w:val="clear" w:color="auto" w:fill="FFFFFF"/>
                <w:lang w:val="vi-VN" w:eastAsia="vi-VN"/>
              </w:rPr>
              <w:t>STT</w:t>
            </w:r>
          </w:p>
        </w:tc>
        <w:tc>
          <w:tcPr>
            <w:tcW w:w="468" w:type="pct"/>
            <w:tcBorders>
              <w:top w:val="single" w:color="auto" w:sz="4" w:space="0"/>
              <w:left w:val="single" w:color="auto" w:sz="4" w:space="0"/>
              <w:bottom w:val="nil"/>
              <w:right w:val="single" w:color="auto" w:sz="4" w:space="0"/>
            </w:tcBorders>
            <w:shd w:val="clear" w:color="auto" w:fill="FFFFFF"/>
            <w:vAlign w:val="center"/>
          </w:tcPr>
          <w:p w14:paraId="22E96ECC">
            <w:pPr>
              <w:widowControl w:val="0"/>
              <w:jc w:val="center"/>
              <w:rPr>
                <w:b/>
                <w:bCs/>
                <w:sz w:val="26"/>
                <w:szCs w:val="26"/>
                <w:shd w:val="clear" w:color="auto" w:fill="FFFFFF"/>
                <w:lang w:val="vi-VN" w:eastAsia="vi-VN"/>
              </w:rPr>
            </w:pPr>
            <w:r>
              <w:rPr>
                <w:b/>
                <w:sz w:val="26"/>
                <w:szCs w:val="26"/>
                <w:lang w:val="vi-VN" w:eastAsia="vi-VN"/>
              </w:rPr>
              <w:t>STT theo yêu cầu báo giá</w:t>
            </w:r>
          </w:p>
        </w:tc>
        <w:tc>
          <w:tcPr>
            <w:tcW w:w="342" w:type="pct"/>
            <w:tcBorders>
              <w:top w:val="single" w:color="auto" w:sz="4" w:space="0"/>
              <w:left w:val="single" w:color="auto" w:sz="4" w:space="0"/>
              <w:bottom w:val="nil"/>
              <w:right w:val="nil"/>
            </w:tcBorders>
            <w:shd w:val="clear" w:color="auto" w:fill="FFFFFF"/>
            <w:vAlign w:val="center"/>
          </w:tcPr>
          <w:p w14:paraId="04BC1C67">
            <w:pPr>
              <w:widowControl w:val="0"/>
              <w:jc w:val="center"/>
              <w:rPr>
                <w:b/>
                <w:bCs/>
                <w:sz w:val="26"/>
                <w:szCs w:val="26"/>
                <w:shd w:val="clear" w:color="auto" w:fill="FFFFFF"/>
                <w:lang w:val="vi-VN" w:eastAsia="vi-VN"/>
              </w:rPr>
            </w:pPr>
            <w:r>
              <w:rPr>
                <w:b/>
                <w:bCs/>
                <w:sz w:val="26"/>
                <w:szCs w:val="26"/>
                <w:shd w:val="clear" w:color="auto" w:fill="FFFFFF"/>
                <w:lang w:val="vi-VN" w:eastAsia="vi-VN"/>
              </w:rPr>
              <w:t xml:space="preserve">Danh mục </w:t>
            </w:r>
            <w:r>
              <w:rPr>
                <w:b/>
                <w:bCs/>
                <w:sz w:val="26"/>
                <w:szCs w:val="26"/>
                <w:shd w:val="clear" w:color="auto" w:fill="FFFFFF"/>
                <w:lang w:eastAsia="vi-VN"/>
              </w:rPr>
              <w:t>hàng hóa</w:t>
            </w:r>
          </w:p>
        </w:tc>
        <w:tc>
          <w:tcPr>
            <w:tcW w:w="420" w:type="pct"/>
            <w:tcBorders>
              <w:top w:val="single" w:color="auto" w:sz="4" w:space="0"/>
              <w:left w:val="single" w:color="auto" w:sz="4" w:space="0"/>
              <w:bottom w:val="nil"/>
              <w:right w:val="nil"/>
            </w:tcBorders>
            <w:shd w:val="clear" w:color="auto" w:fill="FFFFFF"/>
            <w:vAlign w:val="center"/>
          </w:tcPr>
          <w:p w14:paraId="3EE6F54F">
            <w:pPr>
              <w:widowControl w:val="0"/>
              <w:jc w:val="center"/>
              <w:rPr>
                <w:b/>
                <w:bCs/>
                <w:sz w:val="26"/>
                <w:szCs w:val="26"/>
                <w:shd w:val="clear" w:color="auto" w:fill="FFFFFF"/>
                <w:lang w:val="vi-VN" w:eastAsia="vi-VN"/>
              </w:rPr>
            </w:pPr>
            <w:r>
              <w:rPr>
                <w:b/>
                <w:bCs/>
                <w:sz w:val="26"/>
                <w:szCs w:val="26"/>
                <w:shd w:val="clear" w:color="auto" w:fill="FFFFFF"/>
                <w:lang w:val="vi-VN" w:eastAsia="vi-VN"/>
              </w:rPr>
              <w:t xml:space="preserve">Ký, mã, nhãn hiệu, </w:t>
            </w:r>
            <w:r>
              <w:rPr>
                <w:b/>
                <w:bCs/>
                <w:sz w:val="26"/>
                <w:szCs w:val="26"/>
                <w:shd w:val="clear" w:color="auto" w:fill="FFFFFF"/>
                <w:lang w:eastAsia="vi-VN"/>
              </w:rPr>
              <w:t>model</w:t>
            </w:r>
          </w:p>
        </w:tc>
        <w:tc>
          <w:tcPr>
            <w:tcW w:w="342" w:type="pct"/>
            <w:tcBorders>
              <w:top w:val="single" w:color="auto" w:sz="4" w:space="0"/>
              <w:left w:val="single" w:color="auto" w:sz="4" w:space="0"/>
              <w:bottom w:val="nil"/>
              <w:right w:val="single" w:color="auto" w:sz="4" w:space="0"/>
            </w:tcBorders>
            <w:shd w:val="clear" w:color="auto" w:fill="FFFFFF"/>
            <w:vAlign w:val="center"/>
          </w:tcPr>
          <w:p w14:paraId="755BA9D1">
            <w:pPr>
              <w:widowControl w:val="0"/>
              <w:jc w:val="center"/>
              <w:rPr>
                <w:b/>
                <w:bCs/>
                <w:sz w:val="26"/>
                <w:szCs w:val="26"/>
                <w:shd w:val="clear" w:color="auto" w:fill="FFFFFF"/>
                <w:lang w:eastAsia="vi-VN"/>
              </w:rPr>
            </w:pPr>
          </w:p>
          <w:p w14:paraId="4E6848B4">
            <w:pPr>
              <w:widowControl w:val="0"/>
              <w:jc w:val="center"/>
              <w:rPr>
                <w:b/>
                <w:bCs/>
                <w:sz w:val="26"/>
                <w:szCs w:val="26"/>
                <w:shd w:val="clear" w:color="auto" w:fill="FFFFFF"/>
                <w:lang w:eastAsia="vi-VN"/>
              </w:rPr>
            </w:pPr>
          </w:p>
          <w:p w14:paraId="03C5297E">
            <w:pPr>
              <w:widowControl w:val="0"/>
              <w:jc w:val="center"/>
              <w:rPr>
                <w:b/>
                <w:bCs/>
                <w:sz w:val="26"/>
                <w:szCs w:val="26"/>
                <w:shd w:val="clear" w:color="auto" w:fill="FFFFFF"/>
                <w:lang w:val="vi-VN" w:eastAsia="vi-VN"/>
              </w:rPr>
            </w:pPr>
            <w:r>
              <w:rPr>
                <w:b/>
                <w:bCs/>
                <w:sz w:val="26"/>
                <w:szCs w:val="26"/>
                <w:shd w:val="clear" w:color="auto" w:fill="FFFFFF"/>
                <w:lang w:val="vi-VN" w:eastAsia="vi-VN"/>
              </w:rPr>
              <w:t>Hãng sản xuất</w:t>
            </w:r>
          </w:p>
        </w:tc>
        <w:tc>
          <w:tcPr>
            <w:tcW w:w="370" w:type="pct"/>
            <w:tcBorders>
              <w:top w:val="single" w:color="auto" w:sz="4" w:space="0"/>
              <w:left w:val="single" w:color="auto" w:sz="4" w:space="0"/>
              <w:bottom w:val="nil"/>
              <w:right w:val="single" w:color="auto" w:sz="4" w:space="0"/>
            </w:tcBorders>
            <w:shd w:val="clear" w:color="auto" w:fill="FFFFFF"/>
            <w:vAlign w:val="center"/>
          </w:tcPr>
          <w:p w14:paraId="209DC0F7">
            <w:pPr>
              <w:widowControl w:val="0"/>
              <w:jc w:val="center"/>
              <w:rPr>
                <w:b/>
                <w:bCs/>
                <w:sz w:val="26"/>
                <w:szCs w:val="26"/>
                <w:shd w:val="clear" w:color="auto" w:fill="FFFFFF"/>
                <w:lang w:val="vi-VN" w:eastAsia="vi-VN"/>
              </w:rPr>
            </w:pPr>
            <w:r>
              <w:rPr>
                <w:b/>
                <w:bCs/>
                <w:sz w:val="26"/>
                <w:szCs w:val="26"/>
                <w:shd w:val="clear" w:color="auto" w:fill="FFFFFF"/>
                <w:lang w:val="vi-VN" w:eastAsia="vi-VN"/>
              </w:rPr>
              <w:t>Đặc tính kỹ thuật, thông số kỹ thuật</w:t>
            </w:r>
          </w:p>
        </w:tc>
        <w:tc>
          <w:tcPr>
            <w:tcW w:w="230" w:type="pct"/>
            <w:tcBorders>
              <w:top w:val="single" w:color="auto" w:sz="4" w:space="0"/>
              <w:left w:val="single" w:color="auto" w:sz="4" w:space="0"/>
              <w:bottom w:val="nil"/>
              <w:right w:val="nil"/>
            </w:tcBorders>
            <w:shd w:val="clear" w:color="auto" w:fill="FFFFFF"/>
            <w:vAlign w:val="center"/>
          </w:tcPr>
          <w:p w14:paraId="177C3ADA">
            <w:pPr>
              <w:widowControl w:val="0"/>
              <w:jc w:val="center"/>
              <w:rPr>
                <w:b/>
                <w:bCs/>
                <w:sz w:val="26"/>
                <w:szCs w:val="26"/>
                <w:shd w:val="clear" w:color="auto" w:fill="FFFFFF"/>
                <w:vertAlign w:val="superscript"/>
                <w:lang w:eastAsia="vi-VN"/>
              </w:rPr>
            </w:pPr>
            <w:r>
              <w:rPr>
                <w:b/>
                <w:bCs/>
                <w:sz w:val="26"/>
                <w:szCs w:val="26"/>
                <w:shd w:val="clear" w:color="auto" w:fill="FFFFFF"/>
                <w:lang w:val="vi-VN" w:eastAsia="vi-VN"/>
              </w:rPr>
              <w:t>Mã HS</w:t>
            </w:r>
          </w:p>
        </w:tc>
        <w:tc>
          <w:tcPr>
            <w:tcW w:w="340" w:type="pct"/>
            <w:tcBorders>
              <w:top w:val="single" w:color="auto" w:sz="4" w:space="0"/>
              <w:left w:val="single" w:color="auto" w:sz="4" w:space="0"/>
              <w:bottom w:val="nil"/>
              <w:right w:val="nil"/>
            </w:tcBorders>
            <w:shd w:val="clear" w:color="auto" w:fill="FFFFFF"/>
            <w:vAlign w:val="center"/>
          </w:tcPr>
          <w:p w14:paraId="60D82248">
            <w:pPr>
              <w:widowControl w:val="0"/>
              <w:jc w:val="center"/>
              <w:rPr>
                <w:b/>
                <w:bCs/>
                <w:sz w:val="26"/>
                <w:szCs w:val="26"/>
                <w:shd w:val="clear" w:color="auto" w:fill="FFFFFF"/>
                <w:vertAlign w:val="superscript"/>
                <w:lang w:eastAsia="vi-VN"/>
              </w:rPr>
            </w:pPr>
            <w:r>
              <w:rPr>
                <w:b/>
                <w:bCs/>
                <w:sz w:val="26"/>
                <w:szCs w:val="26"/>
                <w:shd w:val="clear" w:color="auto" w:fill="FFFFFF"/>
                <w:lang w:eastAsia="vi-VN"/>
              </w:rPr>
              <w:t>Nước sản xuất</w:t>
            </w:r>
          </w:p>
        </w:tc>
        <w:tc>
          <w:tcPr>
            <w:tcW w:w="405" w:type="pct"/>
            <w:tcBorders>
              <w:top w:val="single" w:color="auto" w:sz="4" w:space="0"/>
              <w:left w:val="single" w:color="auto" w:sz="4" w:space="0"/>
              <w:bottom w:val="nil"/>
              <w:right w:val="single" w:color="auto" w:sz="4" w:space="0"/>
            </w:tcBorders>
            <w:shd w:val="clear" w:color="auto" w:fill="FFFFFF"/>
            <w:vAlign w:val="center"/>
          </w:tcPr>
          <w:p w14:paraId="3797E7B8">
            <w:pPr>
              <w:widowControl w:val="0"/>
              <w:jc w:val="center"/>
              <w:rPr>
                <w:b/>
                <w:bCs/>
                <w:sz w:val="26"/>
                <w:szCs w:val="26"/>
                <w:shd w:val="clear" w:color="auto" w:fill="FFFFFF"/>
                <w:lang w:eastAsia="vi-VN"/>
              </w:rPr>
            </w:pPr>
            <w:r>
              <w:rPr>
                <w:b/>
                <w:bCs/>
                <w:sz w:val="26"/>
                <w:szCs w:val="26"/>
                <w:shd w:val="clear" w:color="auto" w:fill="FFFFFF"/>
                <w:lang w:val="vi-VN" w:eastAsia="vi-VN"/>
              </w:rPr>
              <w:t>Số lượng/</w:t>
            </w:r>
            <w:r>
              <w:rPr>
                <w:b/>
                <w:bCs/>
                <w:sz w:val="26"/>
                <w:szCs w:val="26"/>
                <w:shd w:val="clear" w:color="auto" w:fill="FFFFFF"/>
                <w:lang w:eastAsia="vi-VN"/>
              </w:rPr>
              <w:t xml:space="preserve"> </w:t>
            </w:r>
            <w:r>
              <w:rPr>
                <w:b/>
                <w:bCs/>
                <w:sz w:val="26"/>
                <w:szCs w:val="26"/>
                <w:shd w:val="clear" w:color="auto" w:fill="FFFFFF"/>
                <w:lang w:val="vi-VN" w:eastAsia="vi-VN"/>
              </w:rPr>
              <w:t>khối lượng</w:t>
            </w:r>
          </w:p>
        </w:tc>
        <w:tc>
          <w:tcPr>
            <w:tcW w:w="289" w:type="pct"/>
            <w:tcBorders>
              <w:top w:val="single" w:color="auto" w:sz="4" w:space="0"/>
              <w:left w:val="single" w:color="auto" w:sz="4" w:space="0"/>
              <w:bottom w:val="nil"/>
              <w:right w:val="single" w:color="auto" w:sz="4" w:space="0"/>
            </w:tcBorders>
            <w:shd w:val="clear" w:color="auto" w:fill="FFFFFF"/>
            <w:vAlign w:val="center"/>
          </w:tcPr>
          <w:p w14:paraId="697CAB9B">
            <w:pPr>
              <w:widowControl w:val="0"/>
              <w:jc w:val="center"/>
              <w:rPr>
                <w:b/>
                <w:bCs/>
                <w:sz w:val="26"/>
                <w:szCs w:val="26"/>
                <w:shd w:val="clear" w:color="auto" w:fill="FFFFFF"/>
                <w:lang w:eastAsia="vi-VN"/>
              </w:rPr>
            </w:pPr>
            <w:r>
              <w:rPr>
                <w:b/>
                <w:bCs/>
                <w:sz w:val="26"/>
                <w:szCs w:val="26"/>
                <w:shd w:val="clear" w:color="auto" w:fill="FFFFFF"/>
                <w:lang w:eastAsia="vi-VN"/>
              </w:rPr>
              <w:t>Quy cách</w:t>
            </w:r>
          </w:p>
        </w:tc>
        <w:tc>
          <w:tcPr>
            <w:tcW w:w="289" w:type="pct"/>
            <w:tcBorders>
              <w:top w:val="single" w:color="auto" w:sz="4" w:space="0"/>
              <w:left w:val="single" w:color="auto" w:sz="4" w:space="0"/>
              <w:bottom w:val="nil"/>
              <w:right w:val="nil"/>
            </w:tcBorders>
            <w:shd w:val="clear" w:color="auto" w:fill="FFFFFF"/>
            <w:vAlign w:val="center"/>
          </w:tcPr>
          <w:p w14:paraId="78FF31FC">
            <w:pPr>
              <w:widowControl w:val="0"/>
              <w:jc w:val="center"/>
              <w:rPr>
                <w:b/>
                <w:bCs/>
                <w:sz w:val="26"/>
                <w:szCs w:val="26"/>
                <w:shd w:val="clear" w:color="auto" w:fill="FFFFFF"/>
                <w:lang w:val="vi-VN" w:eastAsia="vi-VN"/>
              </w:rPr>
            </w:pPr>
            <w:r>
              <w:rPr>
                <w:b/>
                <w:bCs/>
                <w:sz w:val="26"/>
                <w:szCs w:val="26"/>
                <w:shd w:val="clear" w:color="auto" w:fill="FFFFFF"/>
                <w:lang w:eastAsia="vi-VN"/>
              </w:rPr>
              <w:t>Đơn vị tính</w:t>
            </w:r>
          </w:p>
        </w:tc>
        <w:tc>
          <w:tcPr>
            <w:tcW w:w="414" w:type="pct"/>
            <w:tcBorders>
              <w:top w:val="single" w:color="auto" w:sz="4" w:space="0"/>
              <w:left w:val="single" w:color="auto" w:sz="4" w:space="0"/>
              <w:bottom w:val="nil"/>
              <w:right w:val="nil"/>
            </w:tcBorders>
            <w:shd w:val="clear" w:color="auto" w:fill="FFFFFF"/>
            <w:vAlign w:val="center"/>
          </w:tcPr>
          <w:p w14:paraId="026CA7AF">
            <w:pPr>
              <w:widowControl w:val="0"/>
              <w:jc w:val="center"/>
              <w:rPr>
                <w:b/>
                <w:bCs/>
                <w:sz w:val="26"/>
                <w:szCs w:val="26"/>
                <w:shd w:val="clear" w:color="auto" w:fill="FFFFFF"/>
                <w:lang w:val="vi-VN" w:eastAsia="vi-VN"/>
              </w:rPr>
            </w:pPr>
            <w:r>
              <w:rPr>
                <w:b/>
                <w:bCs/>
                <w:sz w:val="26"/>
                <w:szCs w:val="26"/>
                <w:shd w:val="clear" w:color="auto" w:fill="FFFFFF"/>
                <w:lang w:val="vi-VN" w:eastAsia="vi-VN"/>
              </w:rPr>
              <w:t>Đơn giá</w:t>
            </w:r>
            <w:r>
              <w:rPr>
                <w:b/>
                <w:bCs/>
                <w:sz w:val="26"/>
                <w:szCs w:val="26"/>
                <w:shd w:val="clear" w:color="auto" w:fill="FFFFFF"/>
                <w:vertAlign w:val="superscript"/>
                <w:lang w:val="vi-VN" w:eastAsia="vi-VN"/>
              </w:rPr>
              <w:t xml:space="preserve"> </w:t>
            </w:r>
            <w:r>
              <w:rPr>
                <w:b/>
                <w:bCs/>
                <w:sz w:val="26"/>
                <w:szCs w:val="26"/>
                <w:shd w:val="clear" w:color="auto" w:fill="FFFFFF"/>
                <w:lang w:val="vi-VN" w:eastAsia="vi-VN"/>
              </w:rPr>
              <w:t>(VND)</w:t>
            </w:r>
          </w:p>
        </w:tc>
        <w:tc>
          <w:tcPr>
            <w:tcW w:w="415" w:type="pct"/>
            <w:tcBorders>
              <w:top w:val="single" w:color="auto" w:sz="4" w:space="0"/>
              <w:left w:val="single" w:color="auto" w:sz="4" w:space="0"/>
              <w:bottom w:val="nil"/>
              <w:right w:val="single" w:color="auto" w:sz="4" w:space="0"/>
            </w:tcBorders>
            <w:shd w:val="clear" w:color="auto" w:fill="FFFFFF"/>
            <w:vAlign w:val="center"/>
          </w:tcPr>
          <w:p w14:paraId="65B92F0A">
            <w:pPr>
              <w:widowControl w:val="0"/>
              <w:jc w:val="center"/>
              <w:rPr>
                <w:b/>
                <w:bCs/>
                <w:sz w:val="26"/>
                <w:szCs w:val="26"/>
                <w:shd w:val="clear" w:color="auto" w:fill="FFFFFF"/>
                <w:lang w:eastAsia="vi-VN"/>
              </w:rPr>
            </w:pPr>
            <w:r>
              <w:rPr>
                <w:b/>
                <w:bCs/>
                <w:sz w:val="26"/>
                <w:szCs w:val="26"/>
                <w:shd w:val="clear" w:color="auto" w:fill="FFFFFF"/>
                <w:lang w:val="vi-VN" w:eastAsia="vi-VN"/>
              </w:rPr>
              <w:t>Thành tiền</w:t>
            </w:r>
          </w:p>
          <w:p w14:paraId="18565D81">
            <w:pPr>
              <w:widowControl w:val="0"/>
              <w:jc w:val="center"/>
              <w:rPr>
                <w:b/>
                <w:bCs/>
                <w:sz w:val="26"/>
                <w:szCs w:val="26"/>
                <w:shd w:val="clear" w:color="auto" w:fill="FFFFFF"/>
                <w:lang w:val="vi-VN" w:eastAsia="vi-VN"/>
              </w:rPr>
            </w:pPr>
            <w:r>
              <w:rPr>
                <w:b/>
                <w:bCs/>
                <w:sz w:val="26"/>
                <w:szCs w:val="26"/>
                <w:shd w:val="clear" w:color="auto" w:fill="FFFFFF"/>
                <w:lang w:val="vi-VN" w:eastAsia="vi-VN"/>
              </w:rPr>
              <w:t>(VND)</w:t>
            </w:r>
          </w:p>
        </w:tc>
        <w:tc>
          <w:tcPr>
            <w:tcW w:w="398" w:type="pct"/>
            <w:tcBorders>
              <w:top w:val="single" w:color="auto" w:sz="4" w:space="0"/>
              <w:left w:val="single" w:color="auto" w:sz="4" w:space="0"/>
              <w:bottom w:val="nil"/>
              <w:right w:val="single" w:color="auto" w:sz="4" w:space="0"/>
            </w:tcBorders>
            <w:shd w:val="clear" w:color="auto" w:fill="FFFFFF"/>
          </w:tcPr>
          <w:p w14:paraId="48B09848">
            <w:pPr>
              <w:widowControl w:val="0"/>
              <w:jc w:val="center"/>
              <w:rPr>
                <w:b/>
                <w:bCs/>
                <w:sz w:val="26"/>
                <w:szCs w:val="26"/>
                <w:shd w:val="clear" w:color="auto" w:fill="FFFFFF"/>
                <w:lang w:eastAsia="vi-VN"/>
              </w:rPr>
            </w:pPr>
          </w:p>
          <w:p w14:paraId="0FD7322B">
            <w:pPr>
              <w:widowControl w:val="0"/>
              <w:jc w:val="center"/>
              <w:rPr>
                <w:b/>
                <w:bCs/>
                <w:sz w:val="26"/>
                <w:szCs w:val="26"/>
                <w:shd w:val="clear" w:color="auto" w:fill="FFFFFF"/>
                <w:lang w:eastAsia="vi-VN"/>
              </w:rPr>
            </w:pPr>
          </w:p>
          <w:p w14:paraId="0BC768D0">
            <w:pPr>
              <w:widowControl w:val="0"/>
              <w:jc w:val="center"/>
              <w:rPr>
                <w:b/>
                <w:bCs/>
                <w:sz w:val="26"/>
                <w:szCs w:val="26"/>
                <w:shd w:val="clear" w:color="auto" w:fill="FFFFFF"/>
                <w:lang w:eastAsia="vi-VN"/>
              </w:rPr>
            </w:pPr>
            <w:r>
              <w:rPr>
                <w:b/>
                <w:bCs/>
                <w:sz w:val="26"/>
                <w:szCs w:val="26"/>
                <w:shd w:val="clear" w:color="auto" w:fill="FFFFFF"/>
                <w:lang w:eastAsia="vi-VN"/>
              </w:rPr>
              <w:t>Thuế suất</w:t>
            </w:r>
          </w:p>
          <w:p w14:paraId="01B9F433">
            <w:pPr>
              <w:widowControl w:val="0"/>
              <w:jc w:val="center"/>
              <w:rPr>
                <w:b/>
                <w:bCs/>
                <w:sz w:val="26"/>
                <w:szCs w:val="26"/>
                <w:shd w:val="clear" w:color="auto" w:fill="FFFFFF"/>
                <w:lang w:eastAsia="vi-VN"/>
              </w:rPr>
            </w:pPr>
            <w:r>
              <w:rPr>
                <w:b/>
                <w:bCs/>
                <w:sz w:val="26"/>
                <w:szCs w:val="26"/>
                <w:shd w:val="clear" w:color="auto" w:fill="FFFFFF"/>
                <w:lang w:eastAsia="vi-VN"/>
              </w:rPr>
              <w:t>(%)</w:t>
            </w:r>
          </w:p>
        </w:tc>
      </w:tr>
      <w:tr w14:paraId="5E4F4026">
        <w:tblPrEx>
          <w:tblCellMar>
            <w:top w:w="0" w:type="dxa"/>
            <w:left w:w="0" w:type="dxa"/>
            <w:bottom w:w="0" w:type="dxa"/>
            <w:right w:w="0" w:type="dxa"/>
          </w:tblCellMar>
        </w:tblPrEx>
        <w:trPr>
          <w:trHeight w:val="16" w:hRule="atLeast"/>
          <w:jc w:val="center"/>
        </w:trPr>
        <w:tc>
          <w:tcPr>
            <w:tcW w:w="278" w:type="pct"/>
            <w:tcBorders>
              <w:top w:val="single" w:color="auto" w:sz="4" w:space="0"/>
              <w:left w:val="single" w:color="auto" w:sz="4" w:space="0"/>
              <w:bottom w:val="nil"/>
              <w:right w:val="nil"/>
            </w:tcBorders>
            <w:shd w:val="clear" w:color="auto" w:fill="FFFFFF"/>
            <w:vAlign w:val="bottom"/>
          </w:tcPr>
          <w:p w14:paraId="0B75DBD8">
            <w:pPr>
              <w:widowControl w:val="0"/>
              <w:rPr>
                <w:bCs/>
                <w:sz w:val="26"/>
                <w:szCs w:val="26"/>
                <w:shd w:val="clear" w:color="auto" w:fill="FFFFFF"/>
                <w:lang w:val="vi-VN" w:eastAsia="vi-VN"/>
              </w:rPr>
            </w:pPr>
            <w:r>
              <w:rPr>
                <w:bCs/>
                <w:sz w:val="26"/>
                <w:szCs w:val="26"/>
                <w:shd w:val="clear" w:color="auto" w:fill="FFFFFF"/>
                <w:lang w:val="vi-VN" w:eastAsia="vi-VN"/>
              </w:rPr>
              <w:t>1</w:t>
            </w:r>
          </w:p>
        </w:tc>
        <w:tc>
          <w:tcPr>
            <w:tcW w:w="468" w:type="pct"/>
            <w:tcBorders>
              <w:top w:val="single" w:color="auto" w:sz="4" w:space="0"/>
              <w:left w:val="single" w:color="auto" w:sz="4" w:space="0"/>
              <w:bottom w:val="nil"/>
              <w:right w:val="single" w:color="auto" w:sz="4" w:space="0"/>
            </w:tcBorders>
            <w:shd w:val="clear" w:color="auto" w:fill="FFFFFF"/>
          </w:tcPr>
          <w:p w14:paraId="135C5D21">
            <w:pPr>
              <w:widowControl w:val="0"/>
              <w:rPr>
                <w:bCs/>
                <w:sz w:val="26"/>
                <w:szCs w:val="26"/>
                <w:shd w:val="clear" w:color="auto" w:fill="FFFFFF"/>
                <w:lang w:eastAsia="vi-VN"/>
              </w:rPr>
            </w:pPr>
          </w:p>
        </w:tc>
        <w:tc>
          <w:tcPr>
            <w:tcW w:w="342" w:type="pct"/>
            <w:tcBorders>
              <w:top w:val="single" w:color="auto" w:sz="4" w:space="0"/>
              <w:left w:val="single" w:color="auto" w:sz="4" w:space="0"/>
              <w:bottom w:val="nil"/>
              <w:right w:val="nil"/>
            </w:tcBorders>
            <w:shd w:val="clear" w:color="auto" w:fill="FFFFFF"/>
            <w:vAlign w:val="center"/>
          </w:tcPr>
          <w:p w14:paraId="1F620749">
            <w:pPr>
              <w:widowControl w:val="0"/>
              <w:rPr>
                <w:bCs/>
                <w:sz w:val="26"/>
                <w:szCs w:val="26"/>
                <w:shd w:val="clear" w:color="auto" w:fill="FFFFFF"/>
                <w:lang w:val="vi-VN" w:eastAsia="vi-VN"/>
              </w:rPr>
            </w:pPr>
            <w:r>
              <w:rPr>
                <w:bCs/>
                <w:sz w:val="26"/>
                <w:szCs w:val="26"/>
                <w:shd w:val="clear" w:color="auto" w:fill="FFFFFF"/>
                <w:lang w:eastAsia="vi-VN"/>
              </w:rPr>
              <w:t>Hàng hoá</w:t>
            </w:r>
            <w:r>
              <w:rPr>
                <w:bCs/>
                <w:sz w:val="26"/>
                <w:szCs w:val="26"/>
                <w:shd w:val="clear" w:color="auto" w:fill="FFFFFF"/>
                <w:lang w:val="vi-VN" w:eastAsia="vi-VN"/>
              </w:rPr>
              <w:t xml:space="preserve"> </w:t>
            </w:r>
            <w:r>
              <w:rPr>
                <w:bCs/>
                <w:sz w:val="26"/>
                <w:szCs w:val="26"/>
                <w:shd w:val="clear" w:color="auto" w:fill="FFFFFF"/>
                <w:lang w:eastAsia="vi-VN"/>
              </w:rPr>
              <w:t>A</w:t>
            </w:r>
          </w:p>
        </w:tc>
        <w:tc>
          <w:tcPr>
            <w:tcW w:w="420" w:type="pct"/>
            <w:tcBorders>
              <w:top w:val="single" w:color="auto" w:sz="4" w:space="0"/>
              <w:left w:val="single" w:color="auto" w:sz="4" w:space="0"/>
              <w:bottom w:val="nil"/>
              <w:right w:val="nil"/>
            </w:tcBorders>
            <w:shd w:val="clear" w:color="auto" w:fill="FFFFFF"/>
          </w:tcPr>
          <w:p w14:paraId="7112D32A">
            <w:pPr>
              <w:widowControl w:val="0"/>
              <w:rPr>
                <w:bCs/>
                <w:sz w:val="28"/>
                <w:szCs w:val="28"/>
                <w:shd w:val="clear" w:color="auto" w:fill="FFFFFF"/>
                <w:lang w:val="vi-VN" w:eastAsia="vi-VN"/>
              </w:rPr>
            </w:pPr>
          </w:p>
        </w:tc>
        <w:tc>
          <w:tcPr>
            <w:tcW w:w="342" w:type="pct"/>
            <w:tcBorders>
              <w:top w:val="single" w:color="auto" w:sz="4" w:space="0"/>
              <w:left w:val="single" w:color="auto" w:sz="4" w:space="0"/>
              <w:bottom w:val="nil"/>
              <w:right w:val="single" w:color="auto" w:sz="4" w:space="0"/>
            </w:tcBorders>
            <w:shd w:val="clear" w:color="auto" w:fill="FFFFFF"/>
          </w:tcPr>
          <w:p w14:paraId="715BBC93">
            <w:pPr>
              <w:widowControl w:val="0"/>
              <w:rPr>
                <w:bCs/>
                <w:sz w:val="28"/>
                <w:szCs w:val="28"/>
                <w:shd w:val="clear" w:color="auto" w:fill="FFFFFF"/>
                <w:lang w:val="vi-VN" w:eastAsia="vi-VN"/>
              </w:rPr>
            </w:pPr>
          </w:p>
        </w:tc>
        <w:tc>
          <w:tcPr>
            <w:tcW w:w="370" w:type="pct"/>
            <w:tcBorders>
              <w:top w:val="single" w:color="auto" w:sz="4" w:space="0"/>
              <w:left w:val="single" w:color="auto" w:sz="4" w:space="0"/>
              <w:bottom w:val="nil"/>
              <w:right w:val="single" w:color="auto" w:sz="4" w:space="0"/>
            </w:tcBorders>
            <w:shd w:val="clear" w:color="auto" w:fill="FFFFFF"/>
          </w:tcPr>
          <w:p w14:paraId="18707F9E">
            <w:pPr>
              <w:widowControl w:val="0"/>
              <w:rPr>
                <w:bCs/>
                <w:sz w:val="28"/>
                <w:szCs w:val="28"/>
                <w:shd w:val="clear" w:color="auto" w:fill="FFFFFF"/>
                <w:lang w:val="vi-VN" w:eastAsia="vi-VN"/>
              </w:rPr>
            </w:pPr>
          </w:p>
        </w:tc>
        <w:tc>
          <w:tcPr>
            <w:tcW w:w="230" w:type="pct"/>
            <w:tcBorders>
              <w:top w:val="single" w:color="auto" w:sz="4" w:space="0"/>
              <w:left w:val="single" w:color="auto" w:sz="4" w:space="0"/>
              <w:bottom w:val="nil"/>
              <w:right w:val="nil"/>
            </w:tcBorders>
            <w:shd w:val="clear" w:color="auto" w:fill="FFFFFF"/>
          </w:tcPr>
          <w:p w14:paraId="76394498">
            <w:pPr>
              <w:widowControl w:val="0"/>
              <w:rPr>
                <w:bCs/>
                <w:sz w:val="28"/>
                <w:szCs w:val="28"/>
                <w:shd w:val="clear" w:color="auto" w:fill="FFFFFF"/>
                <w:lang w:val="vi-VN" w:eastAsia="vi-VN"/>
              </w:rPr>
            </w:pPr>
          </w:p>
        </w:tc>
        <w:tc>
          <w:tcPr>
            <w:tcW w:w="340" w:type="pct"/>
            <w:tcBorders>
              <w:top w:val="single" w:color="auto" w:sz="4" w:space="0"/>
              <w:left w:val="single" w:color="auto" w:sz="4" w:space="0"/>
              <w:bottom w:val="nil"/>
              <w:right w:val="nil"/>
            </w:tcBorders>
            <w:shd w:val="clear" w:color="auto" w:fill="FFFFFF"/>
          </w:tcPr>
          <w:p w14:paraId="72F38F93">
            <w:pPr>
              <w:widowControl w:val="0"/>
              <w:rPr>
                <w:bCs/>
                <w:sz w:val="28"/>
                <w:szCs w:val="28"/>
                <w:shd w:val="clear" w:color="auto" w:fill="FFFFFF"/>
                <w:lang w:val="vi-VN" w:eastAsia="vi-VN"/>
              </w:rPr>
            </w:pPr>
          </w:p>
        </w:tc>
        <w:tc>
          <w:tcPr>
            <w:tcW w:w="405" w:type="pct"/>
            <w:tcBorders>
              <w:top w:val="single" w:color="auto" w:sz="4" w:space="0"/>
              <w:left w:val="single" w:color="auto" w:sz="4" w:space="0"/>
              <w:bottom w:val="nil"/>
              <w:right w:val="single" w:color="auto" w:sz="4" w:space="0"/>
            </w:tcBorders>
            <w:shd w:val="clear" w:color="auto" w:fill="FFFFFF"/>
          </w:tcPr>
          <w:p w14:paraId="3EFC59D9">
            <w:pPr>
              <w:widowControl w:val="0"/>
              <w:rPr>
                <w:bCs/>
                <w:sz w:val="28"/>
                <w:szCs w:val="28"/>
                <w:shd w:val="clear" w:color="auto" w:fill="FFFFFF"/>
                <w:lang w:val="vi-VN" w:eastAsia="vi-VN"/>
              </w:rPr>
            </w:pPr>
          </w:p>
        </w:tc>
        <w:tc>
          <w:tcPr>
            <w:tcW w:w="289" w:type="pct"/>
            <w:tcBorders>
              <w:top w:val="single" w:color="auto" w:sz="4" w:space="0"/>
              <w:left w:val="single" w:color="auto" w:sz="4" w:space="0"/>
              <w:bottom w:val="nil"/>
              <w:right w:val="single" w:color="auto" w:sz="4" w:space="0"/>
            </w:tcBorders>
            <w:shd w:val="clear" w:color="auto" w:fill="FFFFFF"/>
          </w:tcPr>
          <w:p w14:paraId="65C97CA7">
            <w:pPr>
              <w:widowControl w:val="0"/>
              <w:rPr>
                <w:bCs/>
                <w:sz w:val="28"/>
                <w:szCs w:val="28"/>
                <w:shd w:val="clear" w:color="auto" w:fill="FFFFFF"/>
                <w:lang w:val="vi-VN" w:eastAsia="vi-VN"/>
              </w:rPr>
            </w:pPr>
          </w:p>
        </w:tc>
        <w:tc>
          <w:tcPr>
            <w:tcW w:w="289" w:type="pct"/>
            <w:tcBorders>
              <w:top w:val="single" w:color="auto" w:sz="4" w:space="0"/>
              <w:left w:val="single" w:color="auto" w:sz="4" w:space="0"/>
              <w:bottom w:val="nil"/>
              <w:right w:val="nil"/>
            </w:tcBorders>
            <w:shd w:val="clear" w:color="auto" w:fill="FFFFFF"/>
          </w:tcPr>
          <w:p w14:paraId="4282A92C">
            <w:pPr>
              <w:widowControl w:val="0"/>
              <w:rPr>
                <w:bCs/>
                <w:sz w:val="28"/>
                <w:szCs w:val="28"/>
                <w:shd w:val="clear" w:color="auto" w:fill="FFFFFF"/>
                <w:lang w:val="vi-VN" w:eastAsia="vi-VN"/>
              </w:rPr>
            </w:pPr>
          </w:p>
        </w:tc>
        <w:tc>
          <w:tcPr>
            <w:tcW w:w="414" w:type="pct"/>
            <w:tcBorders>
              <w:top w:val="single" w:color="auto" w:sz="4" w:space="0"/>
              <w:left w:val="single" w:color="auto" w:sz="4" w:space="0"/>
              <w:bottom w:val="nil"/>
              <w:right w:val="nil"/>
            </w:tcBorders>
            <w:shd w:val="clear" w:color="auto" w:fill="FFFFFF"/>
          </w:tcPr>
          <w:p w14:paraId="79F48DDE">
            <w:pPr>
              <w:widowControl w:val="0"/>
              <w:rPr>
                <w:bCs/>
                <w:sz w:val="28"/>
                <w:szCs w:val="28"/>
                <w:shd w:val="clear" w:color="auto" w:fill="FFFFFF"/>
                <w:lang w:val="vi-VN" w:eastAsia="vi-VN"/>
              </w:rPr>
            </w:pPr>
          </w:p>
        </w:tc>
        <w:tc>
          <w:tcPr>
            <w:tcW w:w="415" w:type="pct"/>
            <w:tcBorders>
              <w:top w:val="single" w:color="auto" w:sz="4" w:space="0"/>
              <w:left w:val="single" w:color="auto" w:sz="4" w:space="0"/>
              <w:bottom w:val="nil"/>
              <w:right w:val="single" w:color="auto" w:sz="4" w:space="0"/>
            </w:tcBorders>
            <w:shd w:val="clear" w:color="auto" w:fill="FFFFFF"/>
          </w:tcPr>
          <w:p w14:paraId="4D3C0B96">
            <w:pPr>
              <w:widowControl w:val="0"/>
              <w:rPr>
                <w:bCs/>
                <w:sz w:val="28"/>
                <w:szCs w:val="28"/>
                <w:shd w:val="clear" w:color="auto" w:fill="FFFFFF"/>
                <w:lang w:val="vi-VN" w:eastAsia="vi-VN"/>
              </w:rPr>
            </w:pPr>
          </w:p>
        </w:tc>
        <w:tc>
          <w:tcPr>
            <w:tcW w:w="398" w:type="pct"/>
            <w:tcBorders>
              <w:top w:val="single" w:color="auto" w:sz="4" w:space="0"/>
              <w:left w:val="single" w:color="auto" w:sz="4" w:space="0"/>
              <w:bottom w:val="nil"/>
              <w:right w:val="single" w:color="auto" w:sz="4" w:space="0"/>
            </w:tcBorders>
            <w:shd w:val="clear" w:color="auto" w:fill="FFFFFF"/>
          </w:tcPr>
          <w:p w14:paraId="34737EB3">
            <w:pPr>
              <w:widowControl w:val="0"/>
              <w:rPr>
                <w:bCs/>
                <w:sz w:val="28"/>
                <w:szCs w:val="28"/>
                <w:shd w:val="clear" w:color="auto" w:fill="FFFFFF"/>
                <w:lang w:val="vi-VN" w:eastAsia="vi-VN"/>
              </w:rPr>
            </w:pPr>
          </w:p>
        </w:tc>
      </w:tr>
      <w:tr w14:paraId="603A1520">
        <w:tblPrEx>
          <w:tblCellMar>
            <w:top w:w="0" w:type="dxa"/>
            <w:left w:w="0" w:type="dxa"/>
            <w:bottom w:w="0" w:type="dxa"/>
            <w:right w:w="0" w:type="dxa"/>
          </w:tblCellMar>
        </w:tblPrEx>
        <w:trPr>
          <w:trHeight w:val="16" w:hRule="atLeast"/>
          <w:jc w:val="center"/>
        </w:trPr>
        <w:tc>
          <w:tcPr>
            <w:tcW w:w="278" w:type="pct"/>
            <w:tcBorders>
              <w:top w:val="single" w:color="auto" w:sz="4" w:space="0"/>
              <w:left w:val="single" w:color="auto" w:sz="4" w:space="0"/>
              <w:bottom w:val="nil"/>
              <w:right w:val="nil"/>
            </w:tcBorders>
            <w:shd w:val="clear" w:color="auto" w:fill="FFFFFF"/>
            <w:vAlign w:val="bottom"/>
          </w:tcPr>
          <w:p w14:paraId="25E5B8E6">
            <w:pPr>
              <w:widowControl w:val="0"/>
              <w:rPr>
                <w:bCs/>
                <w:sz w:val="26"/>
                <w:szCs w:val="26"/>
                <w:shd w:val="clear" w:color="auto" w:fill="FFFFFF"/>
                <w:lang w:val="vi-VN" w:eastAsia="vi-VN"/>
              </w:rPr>
            </w:pPr>
            <w:r>
              <w:rPr>
                <w:bCs/>
                <w:sz w:val="26"/>
                <w:szCs w:val="26"/>
                <w:shd w:val="clear" w:color="auto" w:fill="FFFFFF"/>
                <w:lang w:val="vi-VN" w:eastAsia="vi-VN"/>
              </w:rPr>
              <w:t>2</w:t>
            </w:r>
          </w:p>
        </w:tc>
        <w:tc>
          <w:tcPr>
            <w:tcW w:w="468" w:type="pct"/>
            <w:tcBorders>
              <w:top w:val="single" w:color="auto" w:sz="4" w:space="0"/>
              <w:left w:val="single" w:color="auto" w:sz="4" w:space="0"/>
              <w:bottom w:val="nil"/>
              <w:right w:val="single" w:color="auto" w:sz="4" w:space="0"/>
            </w:tcBorders>
            <w:shd w:val="clear" w:color="auto" w:fill="FFFFFF"/>
          </w:tcPr>
          <w:p w14:paraId="1FDC0979">
            <w:pPr>
              <w:widowControl w:val="0"/>
              <w:rPr>
                <w:bCs/>
                <w:sz w:val="26"/>
                <w:szCs w:val="26"/>
                <w:shd w:val="clear" w:color="auto" w:fill="FFFFFF"/>
                <w:lang w:eastAsia="vi-VN"/>
              </w:rPr>
            </w:pPr>
          </w:p>
        </w:tc>
        <w:tc>
          <w:tcPr>
            <w:tcW w:w="342" w:type="pct"/>
            <w:tcBorders>
              <w:top w:val="single" w:color="auto" w:sz="4" w:space="0"/>
              <w:left w:val="single" w:color="auto" w:sz="4" w:space="0"/>
              <w:bottom w:val="nil"/>
              <w:right w:val="nil"/>
            </w:tcBorders>
            <w:shd w:val="clear" w:color="auto" w:fill="FFFFFF"/>
            <w:vAlign w:val="center"/>
          </w:tcPr>
          <w:p w14:paraId="0017EA7C">
            <w:pPr>
              <w:widowControl w:val="0"/>
              <w:rPr>
                <w:bCs/>
                <w:sz w:val="26"/>
                <w:szCs w:val="26"/>
                <w:shd w:val="clear" w:color="auto" w:fill="FFFFFF"/>
                <w:lang w:val="vi-VN" w:eastAsia="vi-VN"/>
              </w:rPr>
            </w:pPr>
            <w:r>
              <w:rPr>
                <w:bCs/>
                <w:sz w:val="26"/>
                <w:szCs w:val="26"/>
                <w:shd w:val="clear" w:color="auto" w:fill="FFFFFF"/>
                <w:lang w:eastAsia="vi-VN"/>
              </w:rPr>
              <w:t>Hàng hoá</w:t>
            </w:r>
            <w:r>
              <w:rPr>
                <w:bCs/>
                <w:sz w:val="26"/>
                <w:szCs w:val="26"/>
                <w:shd w:val="clear" w:color="auto" w:fill="FFFFFF"/>
                <w:lang w:val="vi-VN" w:eastAsia="vi-VN"/>
              </w:rPr>
              <w:t xml:space="preserve"> B</w:t>
            </w:r>
          </w:p>
        </w:tc>
        <w:tc>
          <w:tcPr>
            <w:tcW w:w="420" w:type="pct"/>
            <w:tcBorders>
              <w:top w:val="single" w:color="auto" w:sz="4" w:space="0"/>
              <w:left w:val="single" w:color="auto" w:sz="4" w:space="0"/>
              <w:bottom w:val="nil"/>
              <w:right w:val="nil"/>
            </w:tcBorders>
            <w:shd w:val="clear" w:color="auto" w:fill="FFFFFF"/>
          </w:tcPr>
          <w:p w14:paraId="56AF0508">
            <w:pPr>
              <w:widowControl w:val="0"/>
              <w:rPr>
                <w:bCs/>
                <w:sz w:val="28"/>
                <w:szCs w:val="28"/>
                <w:shd w:val="clear" w:color="auto" w:fill="FFFFFF"/>
                <w:lang w:val="vi-VN" w:eastAsia="vi-VN"/>
              </w:rPr>
            </w:pPr>
          </w:p>
        </w:tc>
        <w:tc>
          <w:tcPr>
            <w:tcW w:w="342" w:type="pct"/>
            <w:tcBorders>
              <w:top w:val="single" w:color="auto" w:sz="4" w:space="0"/>
              <w:left w:val="single" w:color="auto" w:sz="4" w:space="0"/>
              <w:bottom w:val="nil"/>
              <w:right w:val="single" w:color="auto" w:sz="4" w:space="0"/>
            </w:tcBorders>
            <w:shd w:val="clear" w:color="auto" w:fill="FFFFFF"/>
          </w:tcPr>
          <w:p w14:paraId="1A2D8D85">
            <w:pPr>
              <w:widowControl w:val="0"/>
              <w:rPr>
                <w:bCs/>
                <w:sz w:val="28"/>
                <w:szCs w:val="28"/>
                <w:shd w:val="clear" w:color="auto" w:fill="FFFFFF"/>
                <w:lang w:val="vi-VN" w:eastAsia="vi-VN"/>
              </w:rPr>
            </w:pPr>
          </w:p>
        </w:tc>
        <w:tc>
          <w:tcPr>
            <w:tcW w:w="370" w:type="pct"/>
            <w:tcBorders>
              <w:top w:val="single" w:color="auto" w:sz="4" w:space="0"/>
              <w:left w:val="single" w:color="auto" w:sz="4" w:space="0"/>
              <w:bottom w:val="nil"/>
              <w:right w:val="single" w:color="auto" w:sz="4" w:space="0"/>
            </w:tcBorders>
            <w:shd w:val="clear" w:color="auto" w:fill="FFFFFF"/>
          </w:tcPr>
          <w:p w14:paraId="28C5D57C">
            <w:pPr>
              <w:widowControl w:val="0"/>
              <w:rPr>
                <w:bCs/>
                <w:sz w:val="28"/>
                <w:szCs w:val="28"/>
                <w:shd w:val="clear" w:color="auto" w:fill="FFFFFF"/>
                <w:lang w:val="vi-VN" w:eastAsia="vi-VN"/>
              </w:rPr>
            </w:pPr>
          </w:p>
        </w:tc>
        <w:tc>
          <w:tcPr>
            <w:tcW w:w="230" w:type="pct"/>
            <w:tcBorders>
              <w:top w:val="single" w:color="auto" w:sz="4" w:space="0"/>
              <w:left w:val="single" w:color="auto" w:sz="4" w:space="0"/>
              <w:bottom w:val="nil"/>
              <w:right w:val="nil"/>
            </w:tcBorders>
            <w:shd w:val="clear" w:color="auto" w:fill="FFFFFF"/>
          </w:tcPr>
          <w:p w14:paraId="0CFFF719">
            <w:pPr>
              <w:widowControl w:val="0"/>
              <w:rPr>
                <w:bCs/>
                <w:sz w:val="28"/>
                <w:szCs w:val="28"/>
                <w:shd w:val="clear" w:color="auto" w:fill="FFFFFF"/>
                <w:lang w:val="vi-VN" w:eastAsia="vi-VN"/>
              </w:rPr>
            </w:pPr>
          </w:p>
        </w:tc>
        <w:tc>
          <w:tcPr>
            <w:tcW w:w="340" w:type="pct"/>
            <w:tcBorders>
              <w:top w:val="single" w:color="auto" w:sz="4" w:space="0"/>
              <w:left w:val="single" w:color="auto" w:sz="4" w:space="0"/>
              <w:bottom w:val="nil"/>
              <w:right w:val="nil"/>
            </w:tcBorders>
            <w:shd w:val="clear" w:color="auto" w:fill="FFFFFF"/>
          </w:tcPr>
          <w:p w14:paraId="4259E690">
            <w:pPr>
              <w:widowControl w:val="0"/>
              <w:rPr>
                <w:bCs/>
                <w:sz w:val="28"/>
                <w:szCs w:val="28"/>
                <w:shd w:val="clear" w:color="auto" w:fill="FFFFFF"/>
                <w:lang w:val="vi-VN" w:eastAsia="vi-VN"/>
              </w:rPr>
            </w:pPr>
          </w:p>
        </w:tc>
        <w:tc>
          <w:tcPr>
            <w:tcW w:w="405" w:type="pct"/>
            <w:tcBorders>
              <w:top w:val="single" w:color="auto" w:sz="4" w:space="0"/>
              <w:left w:val="single" w:color="auto" w:sz="4" w:space="0"/>
              <w:bottom w:val="nil"/>
              <w:right w:val="single" w:color="auto" w:sz="4" w:space="0"/>
            </w:tcBorders>
            <w:shd w:val="clear" w:color="auto" w:fill="FFFFFF"/>
          </w:tcPr>
          <w:p w14:paraId="14F5C775">
            <w:pPr>
              <w:widowControl w:val="0"/>
              <w:rPr>
                <w:bCs/>
                <w:sz w:val="28"/>
                <w:szCs w:val="28"/>
                <w:shd w:val="clear" w:color="auto" w:fill="FFFFFF"/>
                <w:lang w:val="vi-VN" w:eastAsia="vi-VN"/>
              </w:rPr>
            </w:pPr>
          </w:p>
        </w:tc>
        <w:tc>
          <w:tcPr>
            <w:tcW w:w="289" w:type="pct"/>
            <w:tcBorders>
              <w:top w:val="single" w:color="auto" w:sz="4" w:space="0"/>
              <w:left w:val="single" w:color="auto" w:sz="4" w:space="0"/>
              <w:bottom w:val="nil"/>
              <w:right w:val="single" w:color="auto" w:sz="4" w:space="0"/>
            </w:tcBorders>
            <w:shd w:val="clear" w:color="auto" w:fill="FFFFFF"/>
          </w:tcPr>
          <w:p w14:paraId="0B8CF34B">
            <w:pPr>
              <w:widowControl w:val="0"/>
              <w:rPr>
                <w:bCs/>
                <w:sz w:val="28"/>
                <w:szCs w:val="28"/>
                <w:shd w:val="clear" w:color="auto" w:fill="FFFFFF"/>
                <w:lang w:val="vi-VN" w:eastAsia="vi-VN"/>
              </w:rPr>
            </w:pPr>
          </w:p>
        </w:tc>
        <w:tc>
          <w:tcPr>
            <w:tcW w:w="289" w:type="pct"/>
            <w:tcBorders>
              <w:top w:val="single" w:color="auto" w:sz="4" w:space="0"/>
              <w:left w:val="single" w:color="auto" w:sz="4" w:space="0"/>
              <w:bottom w:val="nil"/>
              <w:right w:val="nil"/>
            </w:tcBorders>
            <w:shd w:val="clear" w:color="auto" w:fill="FFFFFF"/>
          </w:tcPr>
          <w:p w14:paraId="1D2B048F">
            <w:pPr>
              <w:widowControl w:val="0"/>
              <w:rPr>
                <w:bCs/>
                <w:sz w:val="28"/>
                <w:szCs w:val="28"/>
                <w:shd w:val="clear" w:color="auto" w:fill="FFFFFF"/>
                <w:lang w:val="vi-VN" w:eastAsia="vi-VN"/>
              </w:rPr>
            </w:pPr>
          </w:p>
        </w:tc>
        <w:tc>
          <w:tcPr>
            <w:tcW w:w="414" w:type="pct"/>
            <w:tcBorders>
              <w:top w:val="single" w:color="auto" w:sz="4" w:space="0"/>
              <w:left w:val="single" w:color="auto" w:sz="4" w:space="0"/>
              <w:bottom w:val="nil"/>
              <w:right w:val="nil"/>
            </w:tcBorders>
            <w:shd w:val="clear" w:color="auto" w:fill="FFFFFF"/>
          </w:tcPr>
          <w:p w14:paraId="1C82D947">
            <w:pPr>
              <w:widowControl w:val="0"/>
              <w:rPr>
                <w:bCs/>
                <w:sz w:val="28"/>
                <w:szCs w:val="28"/>
                <w:shd w:val="clear" w:color="auto" w:fill="FFFFFF"/>
                <w:lang w:val="vi-VN" w:eastAsia="vi-VN"/>
              </w:rPr>
            </w:pPr>
          </w:p>
        </w:tc>
        <w:tc>
          <w:tcPr>
            <w:tcW w:w="415" w:type="pct"/>
            <w:tcBorders>
              <w:top w:val="single" w:color="auto" w:sz="4" w:space="0"/>
              <w:left w:val="single" w:color="auto" w:sz="4" w:space="0"/>
              <w:bottom w:val="nil"/>
              <w:right w:val="single" w:color="auto" w:sz="4" w:space="0"/>
            </w:tcBorders>
            <w:shd w:val="clear" w:color="auto" w:fill="FFFFFF"/>
          </w:tcPr>
          <w:p w14:paraId="72EF4B0B">
            <w:pPr>
              <w:widowControl w:val="0"/>
              <w:rPr>
                <w:bCs/>
                <w:sz w:val="28"/>
                <w:szCs w:val="28"/>
                <w:shd w:val="clear" w:color="auto" w:fill="FFFFFF"/>
                <w:lang w:val="vi-VN" w:eastAsia="vi-VN"/>
              </w:rPr>
            </w:pPr>
          </w:p>
        </w:tc>
        <w:tc>
          <w:tcPr>
            <w:tcW w:w="398" w:type="pct"/>
            <w:tcBorders>
              <w:top w:val="single" w:color="auto" w:sz="4" w:space="0"/>
              <w:left w:val="single" w:color="auto" w:sz="4" w:space="0"/>
              <w:bottom w:val="nil"/>
              <w:right w:val="single" w:color="auto" w:sz="4" w:space="0"/>
            </w:tcBorders>
            <w:shd w:val="clear" w:color="auto" w:fill="FFFFFF"/>
          </w:tcPr>
          <w:p w14:paraId="04EB3540">
            <w:pPr>
              <w:widowControl w:val="0"/>
              <w:rPr>
                <w:bCs/>
                <w:sz w:val="28"/>
                <w:szCs w:val="28"/>
                <w:shd w:val="clear" w:color="auto" w:fill="FFFFFF"/>
                <w:lang w:val="vi-VN" w:eastAsia="vi-VN"/>
              </w:rPr>
            </w:pPr>
          </w:p>
        </w:tc>
      </w:tr>
      <w:tr w14:paraId="64CBDB7F">
        <w:tblPrEx>
          <w:tblCellMar>
            <w:top w:w="0" w:type="dxa"/>
            <w:left w:w="0" w:type="dxa"/>
            <w:bottom w:w="0" w:type="dxa"/>
            <w:right w:w="0" w:type="dxa"/>
          </w:tblCellMar>
        </w:tblPrEx>
        <w:trPr>
          <w:trHeight w:val="16" w:hRule="atLeast"/>
          <w:jc w:val="center"/>
        </w:trPr>
        <w:tc>
          <w:tcPr>
            <w:tcW w:w="278" w:type="pct"/>
            <w:tcBorders>
              <w:top w:val="single" w:color="auto" w:sz="4" w:space="0"/>
              <w:left w:val="single" w:color="auto" w:sz="4" w:space="0"/>
              <w:bottom w:val="single" w:color="auto" w:sz="4" w:space="0"/>
              <w:right w:val="nil"/>
            </w:tcBorders>
            <w:shd w:val="clear" w:color="auto" w:fill="FFFFFF"/>
            <w:vAlign w:val="center"/>
          </w:tcPr>
          <w:p w14:paraId="2BA6FCFC">
            <w:pPr>
              <w:widowControl w:val="0"/>
              <w:rPr>
                <w:bCs/>
                <w:sz w:val="26"/>
                <w:szCs w:val="26"/>
                <w:shd w:val="clear" w:color="auto" w:fill="FFFFFF"/>
                <w:lang w:val="vi-VN" w:eastAsia="vi-VN"/>
              </w:rPr>
            </w:pPr>
            <w:r>
              <w:rPr>
                <w:bCs/>
                <w:sz w:val="26"/>
                <w:szCs w:val="26"/>
                <w:shd w:val="clear" w:color="auto" w:fill="FFFFFF"/>
                <w:lang w:val="vi-VN" w:eastAsia="vi-VN"/>
              </w:rPr>
              <w:t>n</w:t>
            </w:r>
          </w:p>
        </w:tc>
        <w:tc>
          <w:tcPr>
            <w:tcW w:w="468" w:type="pct"/>
            <w:tcBorders>
              <w:top w:val="single" w:color="auto" w:sz="4" w:space="0"/>
              <w:left w:val="single" w:color="auto" w:sz="4" w:space="0"/>
              <w:bottom w:val="single" w:color="auto" w:sz="4" w:space="0"/>
              <w:right w:val="single" w:color="auto" w:sz="4" w:space="0"/>
            </w:tcBorders>
            <w:shd w:val="clear" w:color="auto" w:fill="FFFFFF"/>
          </w:tcPr>
          <w:p w14:paraId="6EBA5A61">
            <w:pPr>
              <w:widowControl w:val="0"/>
              <w:rPr>
                <w:bCs/>
                <w:sz w:val="26"/>
                <w:szCs w:val="26"/>
                <w:shd w:val="clear" w:color="auto" w:fill="FFFFFF"/>
                <w:lang w:eastAsia="vi-VN"/>
              </w:rPr>
            </w:pPr>
          </w:p>
        </w:tc>
        <w:tc>
          <w:tcPr>
            <w:tcW w:w="342" w:type="pct"/>
            <w:tcBorders>
              <w:top w:val="single" w:color="auto" w:sz="4" w:space="0"/>
              <w:left w:val="single" w:color="auto" w:sz="4" w:space="0"/>
              <w:bottom w:val="single" w:color="auto" w:sz="4" w:space="0"/>
              <w:right w:val="nil"/>
            </w:tcBorders>
            <w:shd w:val="clear" w:color="auto" w:fill="FFFFFF"/>
          </w:tcPr>
          <w:p w14:paraId="13619F15">
            <w:pPr>
              <w:widowControl w:val="0"/>
              <w:rPr>
                <w:bCs/>
                <w:sz w:val="26"/>
                <w:szCs w:val="26"/>
                <w:shd w:val="clear" w:color="auto" w:fill="FFFFFF"/>
                <w:lang w:eastAsia="vi-VN"/>
              </w:rPr>
            </w:pPr>
            <w:r>
              <w:rPr>
                <w:bCs/>
                <w:sz w:val="26"/>
                <w:szCs w:val="26"/>
                <w:shd w:val="clear" w:color="auto" w:fill="FFFFFF"/>
                <w:lang w:eastAsia="vi-VN"/>
              </w:rPr>
              <w:t>…</w:t>
            </w:r>
          </w:p>
        </w:tc>
        <w:tc>
          <w:tcPr>
            <w:tcW w:w="420" w:type="pct"/>
            <w:tcBorders>
              <w:top w:val="single" w:color="auto" w:sz="4" w:space="0"/>
              <w:left w:val="single" w:color="auto" w:sz="4" w:space="0"/>
              <w:bottom w:val="single" w:color="auto" w:sz="4" w:space="0"/>
              <w:right w:val="nil"/>
            </w:tcBorders>
            <w:shd w:val="clear" w:color="auto" w:fill="FFFFFF"/>
          </w:tcPr>
          <w:p w14:paraId="67E828AE">
            <w:pPr>
              <w:widowControl w:val="0"/>
              <w:rPr>
                <w:bCs/>
                <w:sz w:val="28"/>
                <w:szCs w:val="28"/>
                <w:shd w:val="clear" w:color="auto" w:fill="FFFFFF"/>
                <w:lang w:val="vi-VN" w:eastAsia="vi-VN"/>
              </w:rPr>
            </w:pPr>
          </w:p>
        </w:tc>
        <w:tc>
          <w:tcPr>
            <w:tcW w:w="342" w:type="pct"/>
            <w:tcBorders>
              <w:top w:val="single" w:color="auto" w:sz="4" w:space="0"/>
              <w:left w:val="single" w:color="auto" w:sz="4" w:space="0"/>
              <w:bottom w:val="single" w:color="auto" w:sz="4" w:space="0"/>
              <w:right w:val="single" w:color="auto" w:sz="4" w:space="0"/>
            </w:tcBorders>
            <w:shd w:val="clear" w:color="auto" w:fill="FFFFFF"/>
          </w:tcPr>
          <w:p w14:paraId="7F9C5E38">
            <w:pPr>
              <w:widowControl w:val="0"/>
              <w:rPr>
                <w:bCs/>
                <w:sz w:val="28"/>
                <w:szCs w:val="28"/>
                <w:shd w:val="clear" w:color="auto" w:fill="FFFFFF"/>
                <w:lang w:val="vi-VN" w:eastAsia="vi-VN"/>
              </w:rPr>
            </w:pPr>
          </w:p>
        </w:tc>
        <w:tc>
          <w:tcPr>
            <w:tcW w:w="370" w:type="pct"/>
            <w:tcBorders>
              <w:top w:val="single" w:color="auto" w:sz="4" w:space="0"/>
              <w:left w:val="single" w:color="auto" w:sz="4" w:space="0"/>
              <w:bottom w:val="single" w:color="auto" w:sz="4" w:space="0"/>
              <w:right w:val="single" w:color="auto" w:sz="4" w:space="0"/>
            </w:tcBorders>
            <w:shd w:val="clear" w:color="auto" w:fill="FFFFFF"/>
          </w:tcPr>
          <w:p w14:paraId="391E24AB">
            <w:pPr>
              <w:widowControl w:val="0"/>
              <w:rPr>
                <w:bCs/>
                <w:sz w:val="28"/>
                <w:szCs w:val="28"/>
                <w:shd w:val="clear" w:color="auto" w:fill="FFFFFF"/>
                <w:lang w:val="vi-VN" w:eastAsia="vi-VN"/>
              </w:rPr>
            </w:pPr>
          </w:p>
        </w:tc>
        <w:tc>
          <w:tcPr>
            <w:tcW w:w="230" w:type="pct"/>
            <w:tcBorders>
              <w:top w:val="single" w:color="auto" w:sz="4" w:space="0"/>
              <w:left w:val="single" w:color="auto" w:sz="4" w:space="0"/>
              <w:bottom w:val="single" w:color="auto" w:sz="4" w:space="0"/>
              <w:right w:val="nil"/>
            </w:tcBorders>
            <w:shd w:val="clear" w:color="auto" w:fill="FFFFFF"/>
          </w:tcPr>
          <w:p w14:paraId="2A40CA49">
            <w:pPr>
              <w:widowControl w:val="0"/>
              <w:rPr>
                <w:bCs/>
                <w:sz w:val="28"/>
                <w:szCs w:val="28"/>
                <w:shd w:val="clear" w:color="auto" w:fill="FFFFFF"/>
                <w:lang w:val="vi-VN" w:eastAsia="vi-VN"/>
              </w:rPr>
            </w:pPr>
          </w:p>
        </w:tc>
        <w:tc>
          <w:tcPr>
            <w:tcW w:w="340" w:type="pct"/>
            <w:tcBorders>
              <w:top w:val="single" w:color="auto" w:sz="4" w:space="0"/>
              <w:left w:val="single" w:color="auto" w:sz="4" w:space="0"/>
              <w:bottom w:val="single" w:color="auto" w:sz="4" w:space="0"/>
              <w:right w:val="nil"/>
            </w:tcBorders>
            <w:shd w:val="clear" w:color="auto" w:fill="FFFFFF"/>
          </w:tcPr>
          <w:p w14:paraId="599F869A">
            <w:pPr>
              <w:widowControl w:val="0"/>
              <w:rPr>
                <w:bCs/>
                <w:sz w:val="28"/>
                <w:szCs w:val="28"/>
                <w:shd w:val="clear" w:color="auto" w:fill="FFFFFF"/>
                <w:lang w:val="vi-VN" w:eastAsia="vi-VN"/>
              </w:rPr>
            </w:pPr>
          </w:p>
        </w:tc>
        <w:tc>
          <w:tcPr>
            <w:tcW w:w="405" w:type="pct"/>
            <w:tcBorders>
              <w:top w:val="single" w:color="auto" w:sz="4" w:space="0"/>
              <w:left w:val="single" w:color="auto" w:sz="4" w:space="0"/>
              <w:bottom w:val="single" w:color="auto" w:sz="4" w:space="0"/>
              <w:right w:val="single" w:color="auto" w:sz="4" w:space="0"/>
            </w:tcBorders>
            <w:shd w:val="clear" w:color="auto" w:fill="FFFFFF"/>
          </w:tcPr>
          <w:p w14:paraId="4EDBC771">
            <w:pPr>
              <w:widowControl w:val="0"/>
              <w:rPr>
                <w:bCs/>
                <w:sz w:val="28"/>
                <w:szCs w:val="28"/>
                <w:shd w:val="clear" w:color="auto" w:fill="FFFFFF"/>
                <w:lang w:val="vi-VN" w:eastAsia="vi-VN"/>
              </w:rPr>
            </w:pPr>
          </w:p>
        </w:tc>
        <w:tc>
          <w:tcPr>
            <w:tcW w:w="289" w:type="pct"/>
            <w:tcBorders>
              <w:top w:val="single" w:color="auto" w:sz="4" w:space="0"/>
              <w:left w:val="single" w:color="auto" w:sz="4" w:space="0"/>
              <w:bottom w:val="single" w:color="auto" w:sz="4" w:space="0"/>
              <w:right w:val="single" w:color="auto" w:sz="4" w:space="0"/>
            </w:tcBorders>
            <w:shd w:val="clear" w:color="auto" w:fill="FFFFFF"/>
          </w:tcPr>
          <w:p w14:paraId="27931D20">
            <w:pPr>
              <w:widowControl w:val="0"/>
              <w:rPr>
                <w:bCs/>
                <w:sz w:val="28"/>
                <w:szCs w:val="28"/>
                <w:shd w:val="clear" w:color="auto" w:fill="FFFFFF"/>
                <w:lang w:val="vi-VN" w:eastAsia="vi-VN"/>
              </w:rPr>
            </w:pPr>
          </w:p>
        </w:tc>
        <w:tc>
          <w:tcPr>
            <w:tcW w:w="289" w:type="pct"/>
            <w:tcBorders>
              <w:top w:val="single" w:color="auto" w:sz="4" w:space="0"/>
              <w:left w:val="single" w:color="auto" w:sz="4" w:space="0"/>
              <w:bottom w:val="single" w:color="auto" w:sz="4" w:space="0"/>
              <w:right w:val="nil"/>
            </w:tcBorders>
            <w:shd w:val="clear" w:color="auto" w:fill="FFFFFF"/>
          </w:tcPr>
          <w:p w14:paraId="449BB7A3">
            <w:pPr>
              <w:widowControl w:val="0"/>
              <w:rPr>
                <w:bCs/>
                <w:sz w:val="28"/>
                <w:szCs w:val="28"/>
                <w:shd w:val="clear" w:color="auto" w:fill="FFFFFF"/>
                <w:lang w:val="vi-VN" w:eastAsia="vi-VN"/>
              </w:rPr>
            </w:pPr>
          </w:p>
        </w:tc>
        <w:tc>
          <w:tcPr>
            <w:tcW w:w="414" w:type="pct"/>
            <w:tcBorders>
              <w:top w:val="single" w:color="auto" w:sz="4" w:space="0"/>
              <w:left w:val="single" w:color="auto" w:sz="4" w:space="0"/>
              <w:bottom w:val="single" w:color="auto" w:sz="4" w:space="0"/>
              <w:right w:val="nil"/>
            </w:tcBorders>
            <w:shd w:val="clear" w:color="auto" w:fill="FFFFFF"/>
          </w:tcPr>
          <w:p w14:paraId="38F0C0D5">
            <w:pPr>
              <w:widowControl w:val="0"/>
              <w:rPr>
                <w:bCs/>
                <w:sz w:val="28"/>
                <w:szCs w:val="28"/>
                <w:shd w:val="clear" w:color="auto" w:fill="FFFFFF"/>
                <w:lang w:val="vi-VN" w:eastAsia="vi-VN"/>
              </w:rPr>
            </w:pPr>
          </w:p>
        </w:tc>
        <w:tc>
          <w:tcPr>
            <w:tcW w:w="415" w:type="pct"/>
            <w:tcBorders>
              <w:top w:val="single" w:color="auto" w:sz="4" w:space="0"/>
              <w:left w:val="single" w:color="auto" w:sz="4" w:space="0"/>
              <w:bottom w:val="single" w:color="auto" w:sz="4" w:space="0"/>
              <w:right w:val="single" w:color="auto" w:sz="4" w:space="0"/>
            </w:tcBorders>
            <w:shd w:val="clear" w:color="auto" w:fill="FFFFFF"/>
          </w:tcPr>
          <w:p w14:paraId="2FE34099">
            <w:pPr>
              <w:widowControl w:val="0"/>
              <w:rPr>
                <w:bCs/>
                <w:sz w:val="28"/>
                <w:szCs w:val="28"/>
                <w:shd w:val="clear" w:color="auto" w:fill="FFFFFF"/>
                <w:lang w:val="vi-VN" w:eastAsia="vi-VN"/>
              </w:rPr>
            </w:pPr>
          </w:p>
        </w:tc>
        <w:tc>
          <w:tcPr>
            <w:tcW w:w="398" w:type="pct"/>
            <w:tcBorders>
              <w:top w:val="single" w:color="auto" w:sz="4" w:space="0"/>
              <w:left w:val="single" w:color="auto" w:sz="4" w:space="0"/>
              <w:bottom w:val="single" w:color="auto" w:sz="4" w:space="0"/>
              <w:right w:val="single" w:color="auto" w:sz="4" w:space="0"/>
            </w:tcBorders>
            <w:shd w:val="clear" w:color="auto" w:fill="FFFFFF"/>
          </w:tcPr>
          <w:p w14:paraId="75BB71D0">
            <w:pPr>
              <w:widowControl w:val="0"/>
              <w:rPr>
                <w:bCs/>
                <w:sz w:val="28"/>
                <w:szCs w:val="28"/>
                <w:shd w:val="clear" w:color="auto" w:fill="FFFFFF"/>
                <w:lang w:val="vi-VN" w:eastAsia="vi-VN"/>
              </w:rPr>
            </w:pPr>
          </w:p>
        </w:tc>
      </w:tr>
    </w:tbl>
    <w:p w14:paraId="74E89D77">
      <w:pPr>
        <w:widowControl w:val="0"/>
        <w:spacing w:before="120" w:line="312" w:lineRule="auto"/>
        <w:ind w:firstLine="720"/>
        <w:jc w:val="both"/>
        <w:rPr>
          <w:bCs/>
          <w:i/>
          <w:iCs/>
          <w:sz w:val="28"/>
          <w:szCs w:val="28"/>
          <w:shd w:val="clear" w:color="auto" w:fill="FFFFFF"/>
          <w:lang w:eastAsia="vi-VN"/>
        </w:rPr>
      </w:pPr>
      <w:r>
        <w:rPr>
          <w:bCs/>
          <w:i/>
          <w:iCs/>
          <w:sz w:val="28"/>
          <w:szCs w:val="28"/>
          <w:shd w:val="clear" w:color="auto" w:fill="FFFFFF"/>
          <w:lang w:eastAsia="vi-VN"/>
        </w:rPr>
        <w:t>Hãng sản xuất, nhà cung cấp: Gửi kèm theo các tài liệu chứng minh về tính năng, thông số kỹ thuật, hợp đồng tương tự hoặc các tài liệu liên quan của thiết bị y tế (nếu có)</w:t>
      </w:r>
    </w:p>
    <w:p w14:paraId="67CC7E91">
      <w:pPr>
        <w:widowControl w:val="0"/>
        <w:spacing w:line="312" w:lineRule="auto"/>
        <w:ind w:firstLine="720"/>
        <w:jc w:val="both"/>
        <w:rPr>
          <w:sz w:val="28"/>
          <w:szCs w:val="28"/>
        </w:rPr>
      </w:pPr>
      <w:r>
        <w:rPr>
          <w:sz w:val="28"/>
          <w:szCs w:val="28"/>
        </w:rPr>
        <w:t>2. Báo giá đã bao gồm các loại thuế, phí, lệ phí (nếu có)….và các khoản chi phí khác có liên quan, bên mua không phải trả thêm bất kỳ khoản chi phí nào khác.</w:t>
      </w:r>
    </w:p>
    <w:p w14:paraId="5F74A870">
      <w:pPr>
        <w:widowControl w:val="0"/>
        <w:spacing w:line="312" w:lineRule="auto"/>
        <w:ind w:firstLine="720"/>
        <w:jc w:val="both"/>
        <w:rPr>
          <w:rFonts w:eastAsia="Calibri"/>
          <w:sz w:val="28"/>
          <w:szCs w:val="28"/>
        </w:rPr>
      </w:pPr>
      <w:r>
        <w:rPr>
          <w:rFonts w:eastAsia="Calibri"/>
          <w:sz w:val="28"/>
          <w:szCs w:val="28"/>
        </w:rPr>
        <w:t>3. Hàng hóa mới 100%, bàn giao tại đơn vị sử dụng. Bảo hành theo tiêu chuẩn nhà sản xuất …. Tháng (nếu có).</w:t>
      </w:r>
    </w:p>
    <w:p w14:paraId="7310D6EF">
      <w:pPr>
        <w:widowControl w:val="0"/>
        <w:spacing w:line="312" w:lineRule="auto"/>
        <w:ind w:firstLine="720"/>
        <w:jc w:val="both"/>
        <w:rPr>
          <w:bCs/>
          <w:sz w:val="28"/>
          <w:szCs w:val="28"/>
          <w:shd w:val="clear" w:color="auto" w:fill="FFFFFF"/>
          <w:lang w:eastAsia="vi-VN"/>
        </w:rPr>
      </w:pPr>
      <w:r>
        <w:rPr>
          <w:bCs/>
          <w:sz w:val="28"/>
          <w:szCs w:val="28"/>
          <w:shd w:val="clear" w:color="auto" w:fill="FFFFFF"/>
          <w:lang w:eastAsia="vi-VN"/>
        </w:rPr>
        <w:t>4. Báo giá này có hiệu lực trong vòng: 90 ngày, kể từ ngày 6/10/2026.</w:t>
      </w:r>
    </w:p>
    <w:p w14:paraId="7B505A5E">
      <w:pPr>
        <w:widowControl w:val="0"/>
        <w:spacing w:line="312" w:lineRule="auto"/>
        <w:ind w:firstLine="720"/>
        <w:jc w:val="both"/>
        <w:rPr>
          <w:bCs/>
          <w:i/>
          <w:iCs/>
          <w:sz w:val="28"/>
          <w:szCs w:val="28"/>
          <w:shd w:val="clear" w:color="auto" w:fill="FFFFFF"/>
          <w:lang w:eastAsia="vi-VN"/>
        </w:rPr>
      </w:pPr>
      <w:r>
        <w:rPr>
          <w:bCs/>
          <w:sz w:val="28"/>
          <w:szCs w:val="28"/>
          <w:shd w:val="clear" w:color="auto" w:fill="FFFFFF"/>
          <w:lang w:eastAsia="vi-VN"/>
        </w:rPr>
        <w:t>5. Chúng tôi cam kết:</w:t>
      </w:r>
    </w:p>
    <w:p w14:paraId="1B6F89DE">
      <w:pPr>
        <w:widowControl w:val="0"/>
        <w:spacing w:line="312" w:lineRule="auto"/>
        <w:ind w:firstLine="720"/>
        <w:jc w:val="both"/>
        <w:rPr>
          <w:bCs/>
          <w:sz w:val="28"/>
          <w:szCs w:val="28"/>
          <w:shd w:val="clear" w:color="auto" w:fill="FFFFFF"/>
          <w:lang w:eastAsia="vi-VN"/>
        </w:rPr>
      </w:pPr>
      <w:r>
        <w:rPr>
          <w:bCs/>
          <w:sz w:val="28"/>
          <w:szCs w:val="28"/>
          <w:shd w:val="clear" w:color="auto" w:fill="FFFFFF"/>
          <w:lang w:eastAsia="vi-VN"/>
        </w:rPr>
        <w:t>- Chịu trách nhiệm về việc cung cấp thông tin về giá của hàng hóa, dịch vụ phù hợp với khả năng cung cấp của mình và bảo đảm việc cung cấp báo giá không vi phạm quy định của pháp luật về cạnh tranh, bán phá giá hoặc nâng khống giá.</w:t>
      </w:r>
    </w:p>
    <w:p w14:paraId="3416E6AB">
      <w:pPr>
        <w:widowControl w:val="0"/>
        <w:spacing w:line="312" w:lineRule="auto"/>
        <w:ind w:firstLine="720"/>
        <w:jc w:val="both"/>
        <w:rPr>
          <w:bCs/>
          <w:sz w:val="28"/>
          <w:szCs w:val="28"/>
          <w:shd w:val="clear" w:color="auto" w:fill="FFFFFF"/>
          <w:lang w:eastAsia="vi-VN"/>
        </w:rPr>
      </w:pPr>
      <w:r>
        <w:rPr>
          <w:bCs/>
          <w:sz w:val="28"/>
          <w:szCs w:val="28"/>
          <w:shd w:val="clear" w:color="auto" w:fill="FFFFFF"/>
          <w:lang w:eastAsia="vi-VN"/>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2D52E710">
      <w:pPr>
        <w:widowControl w:val="0"/>
        <w:spacing w:line="276" w:lineRule="auto"/>
        <w:ind w:firstLine="720"/>
        <w:jc w:val="both"/>
        <w:rPr>
          <w:bCs/>
          <w:sz w:val="28"/>
          <w:szCs w:val="28"/>
          <w:shd w:val="clear" w:color="auto" w:fill="FFFFFF"/>
          <w:lang w:eastAsia="vi-VN"/>
        </w:rPr>
      </w:pPr>
    </w:p>
    <w:p w14:paraId="08121E92">
      <w:pPr>
        <w:widowControl w:val="0"/>
        <w:spacing w:line="276" w:lineRule="auto"/>
        <w:jc w:val="right"/>
        <w:rPr>
          <w:bCs/>
          <w:sz w:val="28"/>
          <w:szCs w:val="28"/>
          <w:shd w:val="clear" w:color="auto" w:fill="FFFFFF"/>
          <w:lang w:val="vi-VN" w:eastAsia="vi-VN"/>
        </w:rPr>
      </w:pPr>
      <w:r>
        <w:rPr>
          <w:bCs/>
          <w:i/>
          <w:iCs/>
          <w:sz w:val="28"/>
          <w:szCs w:val="28"/>
          <w:shd w:val="clear" w:color="auto" w:fill="FFFFFF"/>
          <w:lang w:eastAsia="vi-VN"/>
        </w:rPr>
        <w:t>….</w:t>
      </w:r>
      <w:r>
        <w:rPr>
          <w:bCs/>
          <w:i/>
          <w:iCs/>
          <w:sz w:val="28"/>
          <w:szCs w:val="28"/>
          <w:shd w:val="clear" w:color="auto" w:fill="FFFFFF"/>
          <w:lang w:val="vi-VN" w:eastAsia="vi-VN"/>
        </w:rPr>
        <w:t>, ngày.... tháng....năm....</w:t>
      </w:r>
    </w:p>
    <w:p w14:paraId="16A5E281">
      <w:pPr>
        <w:widowControl w:val="0"/>
        <w:spacing w:line="276" w:lineRule="auto"/>
        <w:jc w:val="right"/>
        <w:rPr>
          <w:b/>
          <w:bCs/>
          <w:i/>
          <w:iCs/>
          <w:sz w:val="28"/>
          <w:szCs w:val="28"/>
          <w:shd w:val="clear" w:color="auto" w:fill="FFFFFF"/>
          <w:lang w:eastAsia="vi-VN"/>
        </w:rPr>
      </w:pPr>
      <w:r>
        <w:rPr>
          <w:b/>
          <w:bCs/>
          <w:sz w:val="28"/>
          <w:szCs w:val="28"/>
          <w:shd w:val="clear" w:color="auto" w:fill="FFFFFF"/>
          <w:lang w:val="vi-VN" w:eastAsia="vi-VN"/>
        </w:rPr>
        <w:t>Đại diện hợp pháp của hãng sản xuất, nhà cung cấp</w:t>
      </w:r>
    </w:p>
    <w:p w14:paraId="5C3ABCFA">
      <w:pPr>
        <w:widowControl w:val="0"/>
        <w:spacing w:line="276" w:lineRule="auto"/>
        <w:jc w:val="right"/>
        <w:rPr>
          <w:sz w:val="28"/>
          <w:szCs w:val="28"/>
        </w:rPr>
      </w:pPr>
      <w:r>
        <w:rPr>
          <w:bCs/>
          <w:sz w:val="28"/>
          <w:szCs w:val="28"/>
          <w:shd w:val="clear" w:color="auto" w:fill="FFFFFF"/>
          <w:lang w:val="vi-VN" w:eastAsia="vi-VN"/>
        </w:rPr>
        <w:t>(Ký tên, đóng d</w:t>
      </w:r>
      <w:r>
        <w:rPr>
          <w:bCs/>
          <w:sz w:val="28"/>
          <w:szCs w:val="28"/>
          <w:shd w:val="clear" w:color="auto" w:fill="FFFFFF"/>
          <w:lang w:eastAsia="vi-VN"/>
        </w:rPr>
        <w:t>ấ</w:t>
      </w:r>
      <w:r>
        <w:rPr>
          <w:bCs/>
          <w:sz w:val="28"/>
          <w:szCs w:val="28"/>
          <w:shd w:val="clear" w:color="auto" w:fill="FFFFFF"/>
          <w:lang w:val="vi-VN" w:eastAsia="vi-VN"/>
        </w:rPr>
        <w:t>u (n</w:t>
      </w:r>
      <w:r>
        <w:rPr>
          <w:bCs/>
          <w:sz w:val="28"/>
          <w:szCs w:val="28"/>
          <w:shd w:val="clear" w:color="auto" w:fill="FFFFFF"/>
          <w:lang w:eastAsia="vi-VN"/>
        </w:rPr>
        <w:t>ế</w:t>
      </w:r>
      <w:r>
        <w:rPr>
          <w:bCs/>
          <w:sz w:val="28"/>
          <w:szCs w:val="28"/>
          <w:shd w:val="clear" w:color="auto" w:fill="FFFFFF"/>
          <w:lang w:val="vi-VN" w:eastAsia="vi-VN"/>
        </w:rPr>
        <w:t>u có))</w:t>
      </w:r>
    </w:p>
    <w:sectPr>
      <w:pgSz w:w="11909" w:h="16834"/>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
    <w:panose1 w:val="020B7200000000000000"/>
    <w:charset w:val="00"/>
    <w:family w:val="swiss"/>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alibri">
    <w:panose1 w:val="020F0502020204030204"/>
    <w:charset w:val="00"/>
    <w:family w:val="auto"/>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Tahoma">
    <w:panose1 w:val="020B0604030504040204"/>
    <w:charset w:val="00"/>
    <w:family w:val="swiss"/>
    <w:pitch w:val="default"/>
    <w:sig w:usb0="E1002EFF" w:usb1="C000605B" w:usb2="00000029" w:usb3="00000000" w:csb0="200101FF" w:csb1="20280000"/>
  </w:font>
  <w:font w:name="TimesNewRomanPSMT">
    <w:altName w:val="Times New Roman"/>
    <w:panose1 w:val="00000000000000000000"/>
    <w:charset w:val="A3"/>
    <w:family w:val="auto"/>
    <w:pitch w:val="default"/>
    <w:sig w:usb0="00000000" w:usb1="00000000" w:usb2="00000000" w:usb3="00000000" w:csb0="00000100"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924060"/>
    <w:multiLevelType w:val="multilevel"/>
    <w:tmpl w:val="02924060"/>
    <w:lvl w:ilvl="0" w:tentative="0">
      <w:start w:val="0"/>
      <w:numFmt w:val="bullet"/>
      <w:lvlText w:val="-"/>
      <w:lvlJc w:val="left"/>
      <w:pPr>
        <w:ind w:left="720" w:hanging="360"/>
      </w:pPr>
      <w:rPr>
        <w:rFonts w:hint="default" w:ascii="Times New Roman" w:hAnsi="Times New Roman" w:eastAsia="SimSu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14AA6A1A"/>
    <w:multiLevelType w:val="multilevel"/>
    <w:tmpl w:val="14AA6A1A"/>
    <w:lvl w:ilvl="0" w:tentative="0">
      <w:start w:val="0"/>
      <w:numFmt w:val="bullet"/>
      <w:lvlText w:val="-"/>
      <w:lvlJc w:val="left"/>
      <w:pPr>
        <w:ind w:left="720" w:hanging="360"/>
      </w:pPr>
      <w:rPr>
        <w:rFonts w:hint="default" w:ascii="Times New Roman" w:hAnsi="Times New Roman" w:eastAsia="SimSu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hideSpellingErrors/>
  <w:documentProtection w:enforcement="0"/>
  <w:defaultTabStop w:val="720"/>
  <w:drawingGridHorizontalSpacing w:val="110"/>
  <w:displayHorizontalDrawingGridEvery w:val="2"/>
  <w:displayVerticalDrawingGridEvery w:val="2"/>
  <w:characterSpacingControl w:val="doNotCompress"/>
  <w:footnotePr>
    <w:numStart w:val="2"/>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84F1E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34"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20"/>
    <w:semiHidden/>
    <w:unhideWhenUsed/>
    <w:uiPriority w:val="99"/>
    <w:rPr>
      <w:rFonts w:ascii="Segoe UI" w:hAnsi="Segoe UI" w:cs="Segoe UI" w:eastAsiaTheme="minorHAnsi"/>
      <w:sz w:val="18"/>
      <w:szCs w:val="18"/>
    </w:rPr>
  </w:style>
  <w:style w:type="character" w:styleId="5">
    <w:name w:val="annotation reference"/>
    <w:basedOn w:val="2"/>
    <w:unhideWhenUsed/>
    <w:uiPriority w:val="0"/>
    <w:rPr>
      <w:sz w:val="16"/>
      <w:szCs w:val="16"/>
    </w:rPr>
  </w:style>
  <w:style w:type="paragraph" w:styleId="6">
    <w:name w:val="annotation text"/>
    <w:basedOn w:val="1"/>
    <w:link w:val="18"/>
    <w:unhideWhenUsed/>
    <w:uiPriority w:val="0"/>
    <w:pPr>
      <w:spacing w:after="160"/>
    </w:pPr>
    <w:rPr>
      <w:rFonts w:asciiTheme="minorHAnsi" w:hAnsiTheme="minorHAnsi" w:eastAsiaTheme="minorHAnsi" w:cstheme="minorBidi"/>
      <w:sz w:val="20"/>
      <w:szCs w:val="20"/>
    </w:rPr>
  </w:style>
  <w:style w:type="paragraph" w:styleId="7">
    <w:name w:val="annotation subject"/>
    <w:basedOn w:val="6"/>
    <w:next w:val="6"/>
    <w:link w:val="19"/>
    <w:unhideWhenUsed/>
    <w:qFormat/>
    <w:uiPriority w:val="0"/>
    <w:rPr>
      <w:b/>
      <w:bCs/>
    </w:rPr>
  </w:style>
  <w:style w:type="paragraph" w:styleId="8">
    <w:name w:val="footer"/>
    <w:basedOn w:val="1"/>
    <w:link w:val="17"/>
    <w:unhideWhenUsed/>
    <w:qFormat/>
    <w:uiPriority w:val="99"/>
    <w:pPr>
      <w:tabs>
        <w:tab w:val="center" w:pos="4680"/>
        <w:tab w:val="right" w:pos="9360"/>
      </w:tabs>
    </w:pPr>
    <w:rPr>
      <w:rFonts w:asciiTheme="minorHAnsi" w:hAnsiTheme="minorHAnsi" w:eastAsiaTheme="minorHAnsi" w:cstheme="minorBidi"/>
      <w:sz w:val="22"/>
      <w:szCs w:val="22"/>
    </w:rPr>
  </w:style>
  <w:style w:type="paragraph" w:styleId="9">
    <w:name w:val="header"/>
    <w:basedOn w:val="1"/>
    <w:link w:val="16"/>
    <w:unhideWhenUsed/>
    <w:qFormat/>
    <w:uiPriority w:val="99"/>
    <w:pPr>
      <w:tabs>
        <w:tab w:val="center" w:pos="4680"/>
        <w:tab w:val="right" w:pos="9360"/>
      </w:tabs>
    </w:pPr>
    <w:rPr>
      <w:rFonts w:asciiTheme="minorHAnsi" w:hAnsiTheme="minorHAnsi" w:eastAsiaTheme="minorHAnsi" w:cstheme="minorBidi"/>
      <w:sz w:val="22"/>
      <w:szCs w:val="22"/>
    </w:rPr>
  </w:style>
  <w:style w:type="character" w:styleId="10">
    <w:name w:val="Hyperlink"/>
    <w:basedOn w:val="2"/>
    <w:unhideWhenUsed/>
    <w:qFormat/>
    <w:uiPriority w:val="99"/>
    <w:rPr>
      <w:color w:val="0563C1" w:themeColor="hyperlink"/>
      <w:u w:val="single"/>
      <w14:textFill>
        <w14:solidFill>
          <w14:schemeClr w14:val="hlink"/>
        </w14:solidFill>
      </w14:textFill>
    </w:rPr>
  </w:style>
  <w:style w:type="paragraph" w:styleId="11">
    <w:name w:val="Normal (Web)"/>
    <w:basedOn w:val="1"/>
    <w:unhideWhenUsed/>
    <w:qFormat/>
    <w:uiPriority w:val="0"/>
    <w:pPr>
      <w:spacing w:before="100" w:beforeAutospacing="1" w:after="100" w:afterAutospacing="1"/>
    </w:pPr>
    <w:rPr>
      <w:lang w:val="vi-VN" w:eastAsia="vi-VN"/>
    </w:rPr>
  </w:style>
  <w:style w:type="character" w:styleId="12">
    <w:name w:val="Strong"/>
    <w:basedOn w:val="2"/>
    <w:qFormat/>
    <w:uiPriority w:val="22"/>
    <w:rPr>
      <w:b/>
      <w:bCs/>
    </w:rPr>
  </w:style>
  <w:style w:type="table" w:styleId="13">
    <w:name w:val="Table Grid"/>
    <w:basedOn w:val="3"/>
    <w:qFormat/>
    <w:uiPriority w:val="0"/>
    <w:pPr>
      <w:spacing w:after="0" w:line="240" w:lineRule="auto"/>
    </w:pPr>
    <w:rPr>
      <w:rFonts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14">
    <w:name w:val="Colorful List Accent 1"/>
    <w:basedOn w:val="3"/>
    <w:uiPriority w:val="34"/>
    <w:pPr>
      <w:spacing w:after="0" w:line="240" w:lineRule="auto"/>
    </w:pPr>
    <w:rPr>
      <w:color w:val="000000"/>
    </w:rPr>
    <w:tblPr>
      <w:tblCellMar>
        <w:top w:w="0" w:type="dxa"/>
        <w:left w:w="108" w:type="dxa"/>
        <w:bottom w:w="0" w:type="dxa"/>
        <w:right w:w="108" w:type="dxa"/>
      </w:tblCellMar>
    </w:tblPr>
    <w:tcPr>
      <w:shd w:val="clear" w:color="auto" w:fill="ECF1F9"/>
    </w:tcPr>
    <w:tblStylePr w:type="firstRow">
      <w:rPr>
        <w:b/>
        <w:bCs/>
        <w:color w:val="FFFFFF"/>
      </w:rPr>
      <w:tblPr/>
      <w:tcPr>
        <w:tcBorders>
          <w:bottom w:val="single" w:color="FFFFFF" w:sz="12" w:space="0"/>
        </w:tcBorders>
        <w:shd w:val="clear" w:color="auto" w:fill="D25F12"/>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paragraph" w:styleId="15">
    <w:name w:val="List Paragraph"/>
    <w:basedOn w:val="1"/>
    <w:link w:val="26"/>
    <w:qFormat/>
    <w:uiPriority w:val="1"/>
    <w:pPr>
      <w:spacing w:after="160" w:line="259" w:lineRule="auto"/>
      <w:ind w:left="720"/>
      <w:contextualSpacing/>
    </w:pPr>
    <w:rPr>
      <w:rFonts w:asciiTheme="minorHAnsi" w:hAnsiTheme="minorHAnsi" w:eastAsiaTheme="minorHAnsi" w:cstheme="minorBidi"/>
      <w:sz w:val="22"/>
      <w:szCs w:val="22"/>
    </w:rPr>
  </w:style>
  <w:style w:type="character" w:customStyle="1" w:styleId="16">
    <w:name w:val="Header Char"/>
    <w:basedOn w:val="2"/>
    <w:link w:val="9"/>
    <w:qFormat/>
    <w:uiPriority w:val="99"/>
  </w:style>
  <w:style w:type="character" w:customStyle="1" w:styleId="17">
    <w:name w:val="Footer Char"/>
    <w:basedOn w:val="2"/>
    <w:link w:val="8"/>
    <w:uiPriority w:val="99"/>
  </w:style>
  <w:style w:type="character" w:customStyle="1" w:styleId="18">
    <w:name w:val="Comment Text Char"/>
    <w:basedOn w:val="2"/>
    <w:link w:val="6"/>
    <w:qFormat/>
    <w:uiPriority w:val="0"/>
    <w:rPr>
      <w:sz w:val="20"/>
      <w:szCs w:val="20"/>
    </w:rPr>
  </w:style>
  <w:style w:type="character" w:customStyle="1" w:styleId="19">
    <w:name w:val="Comment Subject Char"/>
    <w:basedOn w:val="18"/>
    <w:link w:val="7"/>
    <w:uiPriority w:val="0"/>
    <w:rPr>
      <w:b/>
      <w:bCs/>
      <w:sz w:val="20"/>
      <w:szCs w:val="20"/>
    </w:rPr>
  </w:style>
  <w:style w:type="character" w:customStyle="1" w:styleId="20">
    <w:name w:val="Balloon Text Char"/>
    <w:basedOn w:val="2"/>
    <w:link w:val="4"/>
    <w:semiHidden/>
    <w:uiPriority w:val="99"/>
    <w:rPr>
      <w:rFonts w:ascii="Segoe UI" w:hAnsi="Segoe UI" w:cs="Segoe UI"/>
      <w:sz w:val="18"/>
      <w:szCs w:val="18"/>
    </w:rPr>
  </w:style>
  <w:style w:type="paragraph" w:customStyle="1" w:styleId="21">
    <w:name w:val="Char Char Char Char"/>
    <w:basedOn w:val="1"/>
    <w:semiHidden/>
    <w:uiPriority w:val="0"/>
    <w:pPr>
      <w:spacing w:after="160" w:line="240" w:lineRule="exact"/>
    </w:pPr>
    <w:rPr>
      <w:rFonts w:ascii="Arial" w:hAnsi="Arial"/>
      <w:sz w:val="22"/>
      <w:szCs w:val="22"/>
    </w:rPr>
  </w:style>
  <w:style w:type="paragraph" w:customStyle="1" w:styleId="22">
    <w:name w:val="Char Char Char Char Char Char Char Char Char Char"/>
    <w:basedOn w:val="1"/>
    <w:qFormat/>
    <w:uiPriority w:val="0"/>
    <w:pPr>
      <w:spacing w:after="160" w:line="240" w:lineRule="exact"/>
    </w:pPr>
    <w:rPr>
      <w:rFonts w:ascii="Tahoma" w:hAnsi="Tahoma"/>
      <w:sz w:val="20"/>
      <w:szCs w:val="20"/>
      <w:lang w:val="en-GB"/>
    </w:rPr>
  </w:style>
  <w:style w:type="character" w:customStyle="1" w:styleId="23">
    <w:name w:val="fontstyle01"/>
    <w:qFormat/>
    <w:uiPriority w:val="0"/>
    <w:rPr>
      <w:rFonts w:hint="default" w:ascii="Times New Roman" w:hAnsi="Times New Roman" w:cs="Times New Roman"/>
      <w:color w:val="000000"/>
      <w:sz w:val="26"/>
      <w:szCs w:val="26"/>
    </w:rPr>
  </w:style>
  <w:style w:type="character" w:customStyle="1" w:styleId="24">
    <w:name w:val="fontstyle21"/>
    <w:qFormat/>
    <w:uiPriority w:val="0"/>
    <w:rPr>
      <w:rFonts w:hint="default" w:ascii="Arial" w:hAnsi="Arial" w:cs="Arial"/>
      <w:color w:val="727073"/>
      <w:sz w:val="18"/>
      <w:szCs w:val="18"/>
    </w:rPr>
  </w:style>
  <w:style w:type="table" w:customStyle="1" w:styleId="25">
    <w:name w:val="Table Grid1"/>
    <w:basedOn w:val="3"/>
    <w:qFormat/>
    <w:uiPriority w:val="39"/>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6">
    <w:name w:val="List Paragraph Char"/>
    <w:link w:val="15"/>
    <w:qFormat/>
    <w:locked/>
    <w:uiPriority w:val="34"/>
  </w:style>
  <w:style w:type="character" w:customStyle="1" w:styleId="27">
    <w:name w:val="Colorful List - Accent 1 Char"/>
    <w:uiPriority w:val="34"/>
  </w:style>
  <w:style w:type="paragraph" w:styleId="28">
    <w:name w:val="No Spacing"/>
    <w:qFormat/>
    <w:uiPriority w:val="1"/>
    <w:pPr>
      <w:spacing w:after="0" w:line="240" w:lineRule="auto"/>
    </w:pPr>
    <w:rPr>
      <w:rFonts w:ascii="Calibri" w:hAnsi="Calibri" w:eastAsia="Calibri" w:cs="Times New Roman"/>
      <w:sz w:val="22"/>
      <w:szCs w:val="22"/>
      <w:lang w:val="en-US" w:eastAsia="en-US" w:bidi="ar-SA"/>
    </w:rPr>
  </w:style>
  <w:style w:type="character" w:customStyle="1" w:styleId="29">
    <w:name w:val="font71"/>
    <w:qFormat/>
    <w:uiPriority w:val="0"/>
    <w:rPr>
      <w:rFonts w:hint="default" w:ascii="Times New Roman" w:hAnsi="Times New Roman" w:cs="Times New Roman"/>
      <w:color w:val="FF0000"/>
      <w:sz w:val="28"/>
      <w:szCs w:val="28"/>
      <w:u w:val="none"/>
    </w:rPr>
  </w:style>
  <w:style w:type="character" w:customStyle="1" w:styleId="30">
    <w:name w:val="font81"/>
    <w:uiPriority w:val="0"/>
    <w:rPr>
      <w:rFonts w:ascii="Calibri" w:hAnsi="Calibri" w:cs="Calibri"/>
      <w:color w:val="0000CC"/>
      <w:sz w:val="28"/>
      <w:szCs w:val="28"/>
      <w:u w:val="none"/>
    </w:rPr>
  </w:style>
  <w:style w:type="paragraph" w:customStyle="1" w:styleId="31">
    <w:name w:val="Table Paragraph"/>
    <w:basedOn w:val="1"/>
    <w:qFormat/>
    <w:uiPriority w:val="1"/>
    <w:pPr>
      <w:widowControl w:val="0"/>
      <w:autoSpaceDE w:val="0"/>
      <w:autoSpaceDN w:val="0"/>
    </w:pPr>
    <w:rPr>
      <w:sz w:val="22"/>
      <w:szCs w:val="22"/>
      <w:lang w:val="vi"/>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B4FBD9-57A1-41F9-9F72-12C76638396C}">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1573</Words>
  <Characters>5699</Characters>
  <Lines>53</Lines>
  <Paragraphs>14</Paragraphs>
  <TotalTime>58</TotalTime>
  <ScaleCrop>false</ScaleCrop>
  <LinksUpToDate>false</LinksUpToDate>
  <CharactersWithSpaces>7193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2026-09-25T07:41:00Z</dcterms:created>
  <dc:creator>Admin</dc:creator>
  <cp:lastModifiedBy>Truong Hoang Hiep</cp:lastModifiedBy>
  <cp:lastPrinted>2024-03-19T03:16:00Z</cp:lastPrinted>
  <dcterms:modified xsi:type="dcterms:W3CDTF">2026-09-25T09:57:43Z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eyJoZGlkIjoiOTI5NzlhZmJlN2MyY2IzNDU5YmRiYWE1NjQyYjM1ZmYiLCJ1c2VySWQiOiIxMzkxODMwMzk4NjUyIn0=</vt:lpwstr>
  </property>
  <property fmtid="{D5CDD505-2E9C-101B-9397-08002B2CF9AE}" pid="3" name="KSOProductBuildVer">
    <vt:lpwstr>1033-12.1.0.28485</vt:lpwstr>
  </property>
  <property fmtid="{D5CDD505-2E9C-101B-9397-08002B2CF9AE}" pid="4" name="ICV">
    <vt:lpwstr>C7278F41D8124377A72ECFBD79DBC248_12</vt:lpwstr>
  </property>
</Properties>
</file>