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4DC8A8">
      <w:pPr>
        <w:spacing w:before="40" w:after="120" w:line="276" w:lineRule="auto"/>
        <w:jc w:val="center"/>
        <w:rPr>
          <w:b/>
          <w:bCs/>
          <w:sz w:val="28"/>
          <w:szCs w:val="28"/>
        </w:rPr>
      </w:pPr>
      <w:bookmarkStart w:id="2" w:name="_GoBack"/>
      <w:bookmarkEnd w:id="2"/>
      <w:r>
        <w:rPr>
          <w:b/>
          <w:bCs/>
          <w:sz w:val="28"/>
          <w:szCs w:val="28"/>
        </w:rPr>
        <w:t>Phụ lục: Yêu cầu về tính năng, yêu cầu kỹ thuật</w:t>
      </w:r>
    </w:p>
    <w:p w14:paraId="36D6CA69">
      <w:pPr>
        <w:spacing w:line="276" w:lineRule="auto"/>
        <w:jc w:val="center"/>
        <w:rPr>
          <w:bCs/>
          <w:i/>
          <w:sz w:val="28"/>
          <w:szCs w:val="28"/>
        </w:rPr>
      </w:pPr>
      <w:r>
        <w:rPr>
          <w:bCs/>
          <w:i/>
          <w:sz w:val="28"/>
          <w:szCs w:val="28"/>
        </w:rPr>
        <w:t>Gói thầu Mua sắm Hệ thống nội soi tai mũi họng</w:t>
      </w:r>
    </w:p>
    <w:p w14:paraId="131B5CF5">
      <w:pPr>
        <w:spacing w:after="60"/>
        <w:jc w:val="center"/>
        <w:rPr>
          <w:i/>
          <w:color w:val="000000"/>
          <w:szCs w:val="28"/>
        </w:rPr>
      </w:pPr>
      <w:r>
        <w:rPr>
          <w:i/>
          <w:color w:val="000000"/>
          <w:szCs w:val="28"/>
        </w:rPr>
        <w:t xml:space="preserve">(Đính kèm </w:t>
      </w:r>
      <w:r>
        <w:rPr>
          <w:i/>
          <w:color w:val="000000"/>
          <w:szCs w:val="28"/>
          <w:shd w:val="clear" w:color="auto" w:fill="FFFFFF" w:themeFill="background1"/>
        </w:rPr>
        <w:t>yêu cầu báo giá số 9037/YCBG-BVĐKBN2 ngày</w:t>
      </w:r>
      <w:r>
        <w:rPr>
          <w:i/>
          <w:color w:val="000000"/>
          <w:szCs w:val="28"/>
        </w:rPr>
        <w:t xml:space="preserve"> 22/09/2026 của Bệnh viện đa khoa </w:t>
      </w:r>
      <w:r>
        <w:rPr>
          <w:i/>
          <w:color w:val="000000"/>
          <w:szCs w:val="28"/>
        </w:rPr>
        <w:br w:type="textWrapping"/>
      </w:r>
      <w:r>
        <w:rPr>
          <w:i/>
          <w:color w:val="000000"/>
          <w:szCs w:val="28"/>
        </w:rPr>
        <w:t>Bắc Ninh số 2)</w:t>
      </w:r>
    </w:p>
    <w:tbl>
      <w:tblPr>
        <w:tblStyle w:val="3"/>
        <w:tblW w:w="5166"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3"/>
        <w:gridCol w:w="1604"/>
        <w:gridCol w:w="996"/>
        <w:gridCol w:w="852"/>
        <w:gridCol w:w="5740"/>
      </w:tblGrid>
      <w:tr w14:paraId="636F8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341" w:type="pct"/>
            <w:shd w:val="clear" w:color="auto" w:fill="auto"/>
            <w:vAlign w:val="center"/>
          </w:tcPr>
          <w:p w14:paraId="6C98FC93">
            <w:pPr>
              <w:spacing w:before="60" w:after="60" w:line="276" w:lineRule="auto"/>
              <w:jc w:val="center"/>
              <w:textAlignment w:val="center"/>
              <w:rPr>
                <w:rFonts w:eastAsia="Aptos Narrow"/>
                <w:b/>
                <w:bCs/>
              </w:rPr>
            </w:pPr>
            <w:r>
              <w:rPr>
                <w:rFonts w:eastAsia="Aptos Narrow"/>
                <w:b/>
                <w:bCs/>
                <w:lang w:eastAsia="zh-CN" w:bidi="ar"/>
              </w:rPr>
              <w:t>STT</w:t>
            </w:r>
          </w:p>
        </w:tc>
        <w:tc>
          <w:tcPr>
            <w:tcW w:w="813" w:type="pct"/>
            <w:shd w:val="clear" w:color="auto" w:fill="auto"/>
            <w:vAlign w:val="center"/>
          </w:tcPr>
          <w:p w14:paraId="5353D6E2">
            <w:pPr>
              <w:spacing w:before="60" w:after="60" w:line="276" w:lineRule="auto"/>
              <w:jc w:val="center"/>
              <w:textAlignment w:val="center"/>
              <w:rPr>
                <w:rFonts w:eastAsia="Aptos Narrow"/>
                <w:b/>
                <w:bCs/>
              </w:rPr>
            </w:pPr>
            <w:r>
              <w:rPr>
                <w:rFonts w:eastAsia="Aptos Narrow"/>
                <w:b/>
                <w:bCs/>
                <w:lang w:eastAsia="zh-CN" w:bidi="ar"/>
              </w:rPr>
              <w:t>Danh mục hàng hóa</w:t>
            </w:r>
          </w:p>
        </w:tc>
        <w:tc>
          <w:tcPr>
            <w:tcW w:w="505" w:type="pct"/>
            <w:shd w:val="clear" w:color="auto" w:fill="auto"/>
            <w:vAlign w:val="center"/>
          </w:tcPr>
          <w:p w14:paraId="25CF50DC">
            <w:pPr>
              <w:spacing w:before="60" w:after="60" w:line="276" w:lineRule="auto"/>
              <w:jc w:val="center"/>
              <w:textAlignment w:val="center"/>
              <w:rPr>
                <w:rFonts w:eastAsia="Aptos Narrow"/>
                <w:b/>
                <w:bCs/>
              </w:rPr>
            </w:pPr>
            <w:r>
              <w:rPr>
                <w:rFonts w:eastAsia="Aptos Narrow"/>
                <w:b/>
                <w:bCs/>
                <w:lang w:eastAsia="zh-CN" w:bidi="ar"/>
              </w:rPr>
              <w:t>Đơn vị tính</w:t>
            </w:r>
          </w:p>
        </w:tc>
        <w:tc>
          <w:tcPr>
            <w:tcW w:w="432" w:type="pct"/>
            <w:shd w:val="clear" w:color="auto" w:fill="auto"/>
            <w:vAlign w:val="center"/>
          </w:tcPr>
          <w:p w14:paraId="0F397BC3">
            <w:pPr>
              <w:spacing w:before="60" w:after="60" w:line="276" w:lineRule="auto"/>
              <w:jc w:val="center"/>
              <w:textAlignment w:val="center"/>
              <w:rPr>
                <w:rFonts w:eastAsia="Aptos Narrow"/>
                <w:b/>
                <w:bCs/>
              </w:rPr>
            </w:pPr>
            <w:r>
              <w:rPr>
                <w:rFonts w:eastAsia="Aptos Narrow"/>
                <w:b/>
                <w:bCs/>
                <w:lang w:eastAsia="zh-CN" w:bidi="ar"/>
              </w:rPr>
              <w:t>Số lượng</w:t>
            </w:r>
          </w:p>
        </w:tc>
        <w:tc>
          <w:tcPr>
            <w:tcW w:w="2909" w:type="pct"/>
            <w:shd w:val="clear" w:color="auto" w:fill="auto"/>
            <w:vAlign w:val="center"/>
          </w:tcPr>
          <w:p w14:paraId="1AB3219C">
            <w:pPr>
              <w:spacing w:before="60" w:after="60" w:line="276" w:lineRule="auto"/>
              <w:jc w:val="center"/>
              <w:textAlignment w:val="center"/>
              <w:rPr>
                <w:rFonts w:eastAsia="Aptos Narrow"/>
                <w:b/>
                <w:bCs/>
                <w:lang w:eastAsia="zh-CN" w:bidi="ar"/>
              </w:rPr>
            </w:pPr>
            <w:r>
              <w:rPr>
                <w:rFonts w:eastAsia="Aptos Narrow"/>
                <w:b/>
                <w:bCs/>
                <w:lang w:eastAsia="zh-CN" w:bidi="ar"/>
              </w:rPr>
              <w:t xml:space="preserve">Yêu cầu về tính năng, yêu cầu kỹ thuật </w:t>
            </w:r>
          </w:p>
          <w:p w14:paraId="79862D73">
            <w:pPr>
              <w:spacing w:before="60" w:after="60" w:line="276" w:lineRule="auto"/>
              <w:jc w:val="center"/>
              <w:textAlignment w:val="center"/>
              <w:rPr>
                <w:rFonts w:eastAsia="Aptos Narrow"/>
                <w:b/>
                <w:bCs/>
              </w:rPr>
            </w:pPr>
            <w:r>
              <w:rPr>
                <w:rFonts w:eastAsia="Aptos Narrow"/>
                <w:bCs/>
                <w:i/>
                <w:lang w:eastAsia="zh-CN" w:bidi="ar"/>
              </w:rPr>
              <w:t>(Đối với các thông số cố định, cho phép chào các kích cỡ khác dao động tối đa ± 5%)</w:t>
            </w:r>
          </w:p>
        </w:tc>
      </w:tr>
      <w:tr w14:paraId="19442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341" w:type="pct"/>
            <w:shd w:val="clear" w:color="auto" w:fill="auto"/>
            <w:vAlign w:val="center"/>
          </w:tcPr>
          <w:p w14:paraId="33C6F23A">
            <w:pPr>
              <w:spacing w:before="60" w:after="60" w:line="276" w:lineRule="auto"/>
              <w:jc w:val="center"/>
              <w:textAlignment w:val="center"/>
              <w:rPr>
                <w:rFonts w:eastAsia="Aptos Narrow"/>
                <w:b/>
                <w:bCs/>
                <w:lang w:eastAsia="zh-CN" w:bidi="ar"/>
              </w:rPr>
            </w:pPr>
            <w:r>
              <w:rPr>
                <w:rFonts w:eastAsia="Aptos Narrow"/>
                <w:b/>
                <w:bCs/>
                <w:lang w:eastAsia="zh-CN" w:bidi="ar"/>
              </w:rPr>
              <w:t>1</w:t>
            </w:r>
          </w:p>
        </w:tc>
        <w:tc>
          <w:tcPr>
            <w:tcW w:w="813" w:type="pct"/>
            <w:shd w:val="clear" w:color="auto" w:fill="auto"/>
            <w:vAlign w:val="center"/>
          </w:tcPr>
          <w:p w14:paraId="36F26BFE">
            <w:pPr>
              <w:spacing w:before="60" w:after="60" w:line="276" w:lineRule="auto"/>
              <w:textAlignment w:val="center"/>
              <w:rPr>
                <w:rFonts w:eastAsia="Aptos Narrow"/>
                <w:b/>
                <w:bCs/>
                <w:lang w:eastAsia="zh-CN" w:bidi="ar"/>
              </w:rPr>
            </w:pPr>
            <w:r>
              <w:rPr>
                <w:rFonts w:eastAsia="Aptos Narrow"/>
                <w:b/>
                <w:bCs/>
                <w:lang w:eastAsia="zh-CN" w:bidi="ar"/>
              </w:rPr>
              <w:t>Hệ thống nội soi tai mũi họng</w:t>
            </w:r>
          </w:p>
        </w:tc>
        <w:tc>
          <w:tcPr>
            <w:tcW w:w="505" w:type="pct"/>
            <w:shd w:val="clear" w:color="auto" w:fill="auto"/>
            <w:vAlign w:val="center"/>
          </w:tcPr>
          <w:p w14:paraId="7B823919">
            <w:pPr>
              <w:spacing w:before="60" w:after="60" w:line="276" w:lineRule="auto"/>
              <w:jc w:val="center"/>
              <w:textAlignment w:val="center"/>
              <w:rPr>
                <w:rFonts w:eastAsia="Aptos Narrow"/>
                <w:b/>
                <w:lang w:eastAsia="zh-CN" w:bidi="ar"/>
              </w:rPr>
            </w:pPr>
            <w:r>
              <w:rPr>
                <w:rFonts w:eastAsia="Aptos Narrow"/>
                <w:b/>
                <w:lang w:eastAsia="zh-CN" w:bidi="ar"/>
              </w:rPr>
              <w:t>Hệ thống</w:t>
            </w:r>
          </w:p>
        </w:tc>
        <w:tc>
          <w:tcPr>
            <w:tcW w:w="432" w:type="pct"/>
            <w:shd w:val="clear" w:color="auto" w:fill="auto"/>
            <w:vAlign w:val="center"/>
          </w:tcPr>
          <w:p w14:paraId="49126E27">
            <w:pPr>
              <w:spacing w:before="60" w:after="60" w:line="276" w:lineRule="auto"/>
              <w:jc w:val="center"/>
              <w:textAlignment w:val="center"/>
              <w:rPr>
                <w:rFonts w:eastAsia="Aptos Narrow"/>
                <w:b/>
                <w:lang w:eastAsia="zh-CN" w:bidi="ar"/>
              </w:rPr>
            </w:pPr>
            <w:r>
              <w:rPr>
                <w:rFonts w:eastAsia="Aptos Narrow"/>
                <w:b/>
                <w:lang w:eastAsia="zh-CN" w:bidi="ar"/>
              </w:rPr>
              <w:t>01</w:t>
            </w:r>
          </w:p>
        </w:tc>
        <w:tc>
          <w:tcPr>
            <w:tcW w:w="2909" w:type="pct"/>
            <w:shd w:val="clear" w:color="auto" w:fill="auto"/>
            <w:vAlign w:val="center"/>
          </w:tcPr>
          <w:p w14:paraId="77D4843D">
            <w:pPr>
              <w:spacing w:before="60" w:after="60" w:line="276" w:lineRule="auto"/>
              <w:rPr>
                <w:b/>
                <w:bCs/>
              </w:rPr>
            </w:pPr>
            <w:r>
              <w:rPr>
                <w:b/>
                <w:bCs/>
              </w:rPr>
              <w:t>1. Yêu cầu chung:</w:t>
            </w:r>
          </w:p>
          <w:p w14:paraId="684CB0ED">
            <w:pPr>
              <w:spacing w:before="60" w:after="60" w:line="276" w:lineRule="auto"/>
              <w:rPr>
                <w:bCs/>
              </w:rPr>
            </w:pPr>
            <w:r>
              <w:rPr>
                <w:bCs/>
              </w:rPr>
              <w:t>- Chất lượng máy: mới 100%.</w:t>
            </w:r>
          </w:p>
          <w:p w14:paraId="653ED5EC">
            <w:pPr>
              <w:spacing w:before="60" w:after="60" w:line="276" w:lineRule="auto"/>
              <w:rPr>
                <w:bCs/>
              </w:rPr>
            </w:pPr>
            <w:r>
              <w:rPr>
                <w:bCs/>
              </w:rPr>
              <w:t>- Năm sản xuất: 2026 trở về sau.</w:t>
            </w:r>
          </w:p>
          <w:p w14:paraId="53265B89">
            <w:pPr>
              <w:spacing w:before="60" w:after="60" w:line="276" w:lineRule="auto"/>
              <w:rPr>
                <w:bCs/>
              </w:rPr>
            </w:pPr>
            <w:r>
              <w:rPr>
                <w:bCs/>
              </w:rPr>
              <w:t>- Nguồn điện: 220 - 240V, tần số 50/60Hz.</w:t>
            </w:r>
          </w:p>
          <w:p w14:paraId="13BE7091">
            <w:pPr>
              <w:spacing w:before="60" w:after="60" w:line="276" w:lineRule="auto"/>
              <w:rPr>
                <w:bCs/>
              </w:rPr>
            </w:pPr>
            <w:r>
              <w:rPr>
                <w:bCs/>
              </w:rPr>
              <w:t>- Xuất xứ máy chính: G7 (Mỹ, Anh, Đức, Pháp, Italia, Canada, Nhật) hoặc Châu Âu.</w:t>
            </w:r>
          </w:p>
          <w:p w14:paraId="473FF0D6">
            <w:pPr>
              <w:spacing w:before="60" w:after="60" w:line="276" w:lineRule="auto"/>
            </w:pPr>
            <w:r>
              <w:t>- Máy chính đạt tối thiểu một trong các chứng nhận/chứng chỉ: FDA (Mỹ) hoặc CE (Châu Âu).</w:t>
            </w:r>
          </w:p>
          <w:p w14:paraId="32A31597">
            <w:pPr>
              <w:spacing w:before="60" w:after="60" w:line="276" w:lineRule="auto"/>
              <w:rPr>
                <w:b/>
                <w:bCs/>
              </w:rPr>
            </w:pPr>
            <w:r>
              <w:rPr>
                <w:b/>
                <w:bCs/>
              </w:rPr>
              <w:t>2. Cấu hình tối thiểu bao gồm:</w:t>
            </w:r>
          </w:p>
          <w:p w14:paraId="7AA25335">
            <w:pPr>
              <w:spacing w:before="60" w:after="60" w:line="276" w:lineRule="auto"/>
              <w:rPr>
                <w:bCs/>
              </w:rPr>
            </w:pPr>
            <w:r>
              <w:rPr>
                <w:bCs/>
              </w:rPr>
              <w:t>- Bộ xử lý hình ảnh và camera nội soi: 01 bộ.</w:t>
            </w:r>
          </w:p>
          <w:p w14:paraId="7E4F2BDD">
            <w:pPr>
              <w:spacing w:before="60" w:after="60" w:line="276" w:lineRule="auto"/>
              <w:rPr>
                <w:bCs/>
              </w:rPr>
            </w:pPr>
            <w:r>
              <w:rPr>
                <w:bCs/>
              </w:rPr>
              <w:t>- Nguồn sáng: 01 bộ.</w:t>
            </w:r>
          </w:p>
          <w:p w14:paraId="23016260">
            <w:pPr>
              <w:spacing w:before="60" w:after="60" w:line="276" w:lineRule="auto"/>
              <w:rPr>
                <w:bCs/>
              </w:rPr>
            </w:pPr>
            <w:r>
              <w:rPr>
                <w:bCs/>
              </w:rPr>
              <w:t>- Ống soi 0°: 01 cái.</w:t>
            </w:r>
          </w:p>
          <w:p w14:paraId="0B56F405">
            <w:pPr>
              <w:spacing w:before="60" w:after="60" w:line="276" w:lineRule="auto"/>
              <w:rPr>
                <w:bCs/>
              </w:rPr>
            </w:pPr>
            <w:r>
              <w:rPr>
                <w:bCs/>
              </w:rPr>
              <w:t>- Ống soi 0</w:t>
            </w:r>
            <w:r>
              <w:rPr>
                <w:bCs/>
                <w:vertAlign w:val="superscript"/>
              </w:rPr>
              <w:t>0</w:t>
            </w:r>
            <w:r>
              <w:rPr>
                <w:bCs/>
              </w:rPr>
              <w:t xml:space="preserve"> cho trẻ em: 01 cái.</w:t>
            </w:r>
          </w:p>
          <w:p w14:paraId="5B37CAF8">
            <w:pPr>
              <w:spacing w:before="60" w:after="60" w:line="276" w:lineRule="auto"/>
              <w:rPr>
                <w:bCs/>
              </w:rPr>
            </w:pPr>
            <w:r>
              <w:rPr>
                <w:bCs/>
              </w:rPr>
              <w:t>- Ống soi 70°: 01 cái.</w:t>
            </w:r>
          </w:p>
          <w:p w14:paraId="20095D4F">
            <w:pPr>
              <w:spacing w:before="60" w:after="60" w:line="276" w:lineRule="auto"/>
              <w:rPr>
                <w:bCs/>
              </w:rPr>
            </w:pPr>
            <w:r>
              <w:rPr>
                <w:bCs/>
              </w:rPr>
              <w:t>- Dây dẫn sáng: 01 cái.</w:t>
            </w:r>
          </w:p>
          <w:p w14:paraId="7CDAB6B4">
            <w:pPr>
              <w:spacing w:before="60" w:after="60" w:line="276" w:lineRule="auto"/>
              <w:rPr>
                <w:bCs/>
              </w:rPr>
            </w:pPr>
            <w:r>
              <w:rPr>
                <w:bCs/>
              </w:rPr>
              <w:t>- Màn hình màu nội soi chuyên dụng: 01 cái.</w:t>
            </w:r>
          </w:p>
          <w:p w14:paraId="74D40CDE">
            <w:pPr>
              <w:spacing w:before="60" w:after="60" w:line="276" w:lineRule="auto"/>
              <w:rPr>
                <w:bCs/>
              </w:rPr>
            </w:pPr>
            <w:r>
              <w:rPr>
                <w:bCs/>
              </w:rPr>
              <w:t>- Dây dẫn tín hiệu: 01 cái.</w:t>
            </w:r>
          </w:p>
          <w:p w14:paraId="07CFDB79">
            <w:pPr>
              <w:spacing w:before="60" w:after="60" w:line="276" w:lineRule="auto"/>
              <w:rPr>
                <w:bCs/>
              </w:rPr>
            </w:pPr>
            <w:r>
              <w:rPr>
                <w:bCs/>
              </w:rPr>
              <w:t>- Card truyền hình ảnh: 01 cái.</w:t>
            </w:r>
          </w:p>
          <w:p w14:paraId="35179AE0">
            <w:pPr>
              <w:spacing w:before="60" w:after="60" w:line="276" w:lineRule="auto"/>
              <w:rPr>
                <w:bCs/>
              </w:rPr>
            </w:pPr>
            <w:r>
              <w:rPr>
                <w:bCs/>
              </w:rPr>
              <w:t>- Máy tính: 01 bộ.</w:t>
            </w:r>
          </w:p>
          <w:p w14:paraId="05767A2A">
            <w:pPr>
              <w:spacing w:before="60" w:after="60" w:line="276" w:lineRule="auto"/>
              <w:rPr>
                <w:bCs/>
              </w:rPr>
            </w:pPr>
            <w:r>
              <w:rPr>
                <w:bCs/>
              </w:rPr>
              <w:t>- Xe đẩy: 01 cái.</w:t>
            </w:r>
          </w:p>
          <w:p w14:paraId="48F9E04F">
            <w:pPr>
              <w:spacing w:before="60" w:after="60" w:line="276" w:lineRule="auto"/>
              <w:rPr>
                <w:bCs/>
              </w:rPr>
            </w:pPr>
            <w:r>
              <w:rPr>
                <w:bCs/>
              </w:rPr>
              <w:t>- Phần mềm in kết quả: 01 bộ.</w:t>
            </w:r>
          </w:p>
          <w:p w14:paraId="3BE21C02">
            <w:pPr>
              <w:spacing w:before="60" w:after="60" w:line="276" w:lineRule="auto"/>
              <w:rPr>
                <w:bCs/>
              </w:rPr>
            </w:pPr>
            <w:r>
              <w:rPr>
                <w:bCs/>
              </w:rPr>
              <w:t>- Tài liệu hướng dẫn sử dụng Tiếng Anh và Tiếng Việt: 01 bộ.</w:t>
            </w:r>
          </w:p>
          <w:p w14:paraId="14756F11">
            <w:pPr>
              <w:spacing w:before="60" w:after="60" w:line="276" w:lineRule="auto"/>
              <w:rPr>
                <w:b/>
                <w:bCs/>
              </w:rPr>
            </w:pPr>
            <w:r>
              <w:rPr>
                <w:b/>
                <w:bCs/>
              </w:rPr>
              <w:t>3. Yêu cầu kỹ thuật tối thiểu:</w:t>
            </w:r>
          </w:p>
          <w:p w14:paraId="39B90C1D">
            <w:pPr>
              <w:spacing w:before="60" w:after="60" w:line="276" w:lineRule="auto"/>
              <w:rPr>
                <w:b/>
                <w:bCs/>
              </w:rPr>
            </w:pPr>
            <w:r>
              <w:rPr>
                <w:b/>
                <w:bCs/>
              </w:rPr>
              <w:t>3.1. Bộ xử lý hình ảnh và camera nội soi:</w:t>
            </w:r>
          </w:p>
          <w:p w14:paraId="41AAFF52">
            <w:pPr>
              <w:spacing w:before="60" w:after="60" w:line="276" w:lineRule="auto"/>
              <w:rPr>
                <w:bCs/>
              </w:rPr>
            </w:pPr>
            <w:r>
              <w:rPr>
                <w:bCs/>
              </w:rPr>
              <w:t>- Hình ảnh có độ phân giải full HD trở lên.</w:t>
            </w:r>
          </w:p>
          <w:p w14:paraId="64ECB973">
            <w:pPr>
              <w:spacing w:before="60" w:after="60" w:line="276" w:lineRule="auto"/>
              <w:rPr>
                <w:bCs/>
              </w:rPr>
            </w:pPr>
            <w:r>
              <w:rPr>
                <w:bCs/>
              </w:rPr>
              <w:t>- Có các cổng tín hiệu theo tiêu chuẩn của nhà sản xuất.</w:t>
            </w:r>
          </w:p>
          <w:p w14:paraId="549D6505">
            <w:pPr>
              <w:spacing w:before="60" w:after="60" w:line="276" w:lineRule="auto"/>
              <w:rPr>
                <w:bCs/>
              </w:rPr>
            </w:pPr>
            <w:r>
              <w:rPr>
                <w:bCs/>
              </w:rPr>
              <w:t>- Có chế độ dừng hình.</w:t>
            </w:r>
          </w:p>
          <w:p w14:paraId="476253A0">
            <w:pPr>
              <w:spacing w:before="60" w:after="60" w:line="276" w:lineRule="auto"/>
              <w:rPr>
                <w:bCs/>
              </w:rPr>
            </w:pPr>
            <w:r>
              <w:rPr>
                <w:bCs/>
              </w:rPr>
              <w:t>- Có chức năng điều chỉnh cân bằng trắng.</w:t>
            </w:r>
          </w:p>
          <w:p w14:paraId="0201D528">
            <w:pPr>
              <w:spacing w:before="60" w:after="60" w:line="276" w:lineRule="auto"/>
              <w:rPr>
                <w:bCs/>
              </w:rPr>
            </w:pPr>
            <w:r>
              <w:rPr>
                <w:bCs/>
              </w:rPr>
              <w:t>- Có chức năng soi.</w:t>
            </w:r>
          </w:p>
          <w:p w14:paraId="066CC47C">
            <w:pPr>
              <w:spacing w:before="60" w:after="60" w:line="276" w:lineRule="auto"/>
              <w:rPr>
                <w:b/>
                <w:bCs/>
              </w:rPr>
            </w:pPr>
            <w:r>
              <w:rPr>
                <w:b/>
                <w:bCs/>
              </w:rPr>
              <w:t>3.2. Nguồn sáng LED:</w:t>
            </w:r>
          </w:p>
          <w:p w14:paraId="77362062">
            <w:pPr>
              <w:spacing w:before="60" w:after="60" w:line="276" w:lineRule="auto"/>
              <w:rPr>
                <w:bCs/>
              </w:rPr>
            </w:pPr>
            <w:r>
              <w:rPr>
                <w:bCs/>
              </w:rPr>
              <w:t>- Tuổi thọ bóng đèn: ≥ 50.000 giờ</w:t>
            </w:r>
          </w:p>
          <w:p w14:paraId="107768CE">
            <w:pPr>
              <w:spacing w:before="60" w:after="60" w:line="276" w:lineRule="auto"/>
              <w:rPr>
                <w:bCs/>
              </w:rPr>
            </w:pPr>
            <w:r>
              <w:rPr>
                <w:bCs/>
              </w:rPr>
              <w:t>- Nhiệt độ màu: ≥ 5000K</w:t>
            </w:r>
          </w:p>
          <w:p w14:paraId="06AE5A4E">
            <w:pPr>
              <w:spacing w:before="60" w:after="60" w:line="276" w:lineRule="auto"/>
              <w:rPr>
                <w:bCs/>
              </w:rPr>
            </w:pPr>
            <w:r>
              <w:rPr>
                <w:bCs/>
              </w:rPr>
              <w:t>- Công suất: ≥ 80W</w:t>
            </w:r>
          </w:p>
          <w:p w14:paraId="76FB22F5">
            <w:pPr>
              <w:spacing w:before="60" w:after="60" w:line="276" w:lineRule="auto"/>
              <w:rPr>
                <w:bCs/>
              </w:rPr>
            </w:pPr>
            <w:r>
              <w:rPr>
                <w:bCs/>
              </w:rPr>
              <w:t>- Có chức năng điều chỉnh độ mờ.</w:t>
            </w:r>
          </w:p>
          <w:p w14:paraId="621E6C6A">
            <w:pPr>
              <w:spacing w:before="60" w:after="60" w:line="276" w:lineRule="auto"/>
              <w:rPr>
                <w:b/>
                <w:bCs/>
              </w:rPr>
            </w:pPr>
            <w:r>
              <w:rPr>
                <w:b/>
                <w:bCs/>
              </w:rPr>
              <w:t>3.3. Dây dẫn sáng:</w:t>
            </w:r>
          </w:p>
          <w:p w14:paraId="097BD00B">
            <w:pPr>
              <w:spacing w:before="60" w:after="60" w:line="276" w:lineRule="auto"/>
              <w:rPr>
                <w:bCs/>
              </w:rPr>
            </w:pPr>
            <w:r>
              <w:rPr>
                <w:bCs/>
              </w:rPr>
              <w:t>- Đường kính: 3.5mm.</w:t>
            </w:r>
          </w:p>
          <w:p w14:paraId="3044FDAA">
            <w:pPr>
              <w:spacing w:before="60" w:after="60" w:line="276" w:lineRule="auto"/>
              <w:rPr>
                <w:bCs/>
              </w:rPr>
            </w:pPr>
            <w:r>
              <w:rPr>
                <w:bCs/>
              </w:rPr>
              <w:t>- Chiều dài: 3m.</w:t>
            </w:r>
          </w:p>
          <w:p w14:paraId="466153FD">
            <w:pPr>
              <w:spacing w:before="60" w:after="60" w:line="276" w:lineRule="auto"/>
              <w:rPr>
                <w:bCs/>
              </w:rPr>
            </w:pPr>
            <w:r>
              <w:rPr>
                <w:b/>
                <w:bCs/>
              </w:rPr>
              <w:t>3.4. Màn hình nội soi chuyên dụng:</w:t>
            </w:r>
          </w:p>
          <w:p w14:paraId="017B266C">
            <w:pPr>
              <w:spacing w:before="60" w:after="60" w:line="276" w:lineRule="auto"/>
              <w:rPr>
                <w:bCs/>
              </w:rPr>
            </w:pPr>
            <w:r>
              <w:rPr>
                <w:bCs/>
              </w:rPr>
              <w:t>- Kích thước: ≥ 21 inches</w:t>
            </w:r>
          </w:p>
          <w:p w14:paraId="092692DC">
            <w:pPr>
              <w:spacing w:before="60" w:after="60" w:line="276" w:lineRule="auto"/>
              <w:rPr>
                <w:bCs/>
              </w:rPr>
            </w:pPr>
            <w:r>
              <w:rPr>
                <w:bCs/>
              </w:rPr>
              <w:t>- Độ phân giải: Full HD (1920x1080) trở lên</w:t>
            </w:r>
          </w:p>
          <w:p w14:paraId="59768BAF">
            <w:pPr>
              <w:spacing w:before="60" w:after="60" w:line="276" w:lineRule="auto"/>
              <w:rPr>
                <w:bCs/>
              </w:rPr>
            </w:pPr>
            <w:r>
              <w:rPr>
                <w:bCs/>
              </w:rPr>
              <w:t>- Độ sáng: ≥ 300 cd/m</w:t>
            </w:r>
            <w:r>
              <w:rPr>
                <w:bCs/>
                <w:vertAlign w:val="superscript"/>
              </w:rPr>
              <w:t>2</w:t>
            </w:r>
          </w:p>
          <w:p w14:paraId="7FED97AE">
            <w:pPr>
              <w:spacing w:before="60" w:after="60" w:line="276" w:lineRule="auto"/>
              <w:rPr>
                <w:bCs/>
              </w:rPr>
            </w:pPr>
            <w:r>
              <w:rPr>
                <w:bCs/>
              </w:rPr>
              <w:t>- Độ tương phản: ≥ 1000:1</w:t>
            </w:r>
          </w:p>
          <w:p w14:paraId="0C6E922B">
            <w:pPr>
              <w:spacing w:before="60" w:after="60" w:line="276" w:lineRule="auto"/>
              <w:rPr>
                <w:bCs/>
              </w:rPr>
            </w:pPr>
            <w:r>
              <w:rPr>
                <w:bCs/>
              </w:rPr>
              <w:t>- Màu: ≥ 16 triệu màu</w:t>
            </w:r>
          </w:p>
          <w:p w14:paraId="4B51593D">
            <w:pPr>
              <w:spacing w:before="60" w:after="60" w:line="276" w:lineRule="auto"/>
              <w:rPr>
                <w:bCs/>
              </w:rPr>
            </w:pPr>
            <w:r>
              <w:rPr>
                <w:bCs/>
              </w:rPr>
              <w:t>- Góc nhìn: ≥ 175° (trái/phải), ≥ 175° (lên/xuống)</w:t>
            </w:r>
          </w:p>
          <w:p w14:paraId="63DF617B">
            <w:pPr>
              <w:spacing w:before="60" w:after="60" w:line="276" w:lineRule="auto"/>
              <w:rPr>
                <w:bCs/>
              </w:rPr>
            </w:pPr>
            <w:r>
              <w:rPr>
                <w:bCs/>
              </w:rPr>
              <w:t>- Có các cổng tín hiệu theo tiêu chuẩn của nhà sản xuất.</w:t>
            </w:r>
          </w:p>
          <w:p w14:paraId="3D1E43C8">
            <w:pPr>
              <w:spacing w:before="60" w:after="60" w:line="276" w:lineRule="auto"/>
              <w:rPr>
                <w:b/>
              </w:rPr>
            </w:pPr>
            <w:r>
              <w:rPr>
                <w:b/>
              </w:rPr>
              <w:t>3.5. Ống soi:</w:t>
            </w:r>
          </w:p>
          <w:p w14:paraId="221DA18B">
            <w:pPr>
              <w:spacing w:before="60" w:after="60" w:line="276" w:lineRule="auto"/>
              <w:rPr>
                <w:bCs/>
              </w:rPr>
            </w:pPr>
            <w:r>
              <w:rPr>
                <w:bCs/>
              </w:rPr>
              <w:t>- Ống soi 0</w:t>
            </w:r>
            <w:r>
              <w:rPr>
                <w:bCs/>
                <w:vertAlign w:val="superscript"/>
              </w:rPr>
              <w:t>0</w:t>
            </w:r>
            <w:r>
              <w:rPr>
                <w:bCs/>
              </w:rPr>
              <w:t>: kích thước (đường kính x chiều dài) 4x175mm.</w:t>
            </w:r>
          </w:p>
          <w:p w14:paraId="0B1224FF">
            <w:pPr>
              <w:spacing w:before="60" w:after="60" w:line="276" w:lineRule="auto"/>
              <w:rPr>
                <w:bCs/>
              </w:rPr>
            </w:pPr>
            <w:r>
              <w:rPr>
                <w:bCs/>
              </w:rPr>
              <w:t>- Ống soi 0</w:t>
            </w:r>
            <w:r>
              <w:rPr>
                <w:bCs/>
                <w:vertAlign w:val="superscript"/>
              </w:rPr>
              <w:t xml:space="preserve">0 </w:t>
            </w:r>
            <w:r>
              <w:rPr>
                <w:bCs/>
              </w:rPr>
              <w:t>cho trẻ em: kích thước (đường kính x chiều dài) 2.7 x 110mm hoặc 3.0 x 110mm.</w:t>
            </w:r>
          </w:p>
          <w:p w14:paraId="2BD836A9">
            <w:pPr>
              <w:spacing w:before="60" w:after="60" w:line="276" w:lineRule="auto"/>
              <w:rPr>
                <w:bCs/>
              </w:rPr>
            </w:pPr>
            <w:r>
              <w:rPr>
                <w:bCs/>
              </w:rPr>
              <w:t>- Ống soi 70</w:t>
            </w:r>
            <w:r>
              <w:rPr>
                <w:bCs/>
                <w:vertAlign w:val="superscript"/>
              </w:rPr>
              <w:t>0</w:t>
            </w:r>
            <w:r>
              <w:rPr>
                <w:bCs/>
              </w:rPr>
              <w:t>: kích thước (đường kính x chiều dài) 6x185mm.</w:t>
            </w:r>
          </w:p>
          <w:p w14:paraId="2B438DFF">
            <w:pPr>
              <w:spacing w:before="60" w:after="60" w:line="276" w:lineRule="auto"/>
              <w:rPr>
                <w:b/>
                <w:bCs/>
              </w:rPr>
            </w:pPr>
            <w:r>
              <w:rPr>
                <w:b/>
                <w:bCs/>
              </w:rPr>
              <w:t>3.6. Máy tính:</w:t>
            </w:r>
          </w:p>
          <w:p w14:paraId="285BE76A">
            <w:pPr>
              <w:spacing w:before="60" w:after="60" w:line="276" w:lineRule="auto"/>
              <w:rPr>
                <w:bCs/>
              </w:rPr>
            </w:pPr>
            <w:r>
              <w:rPr>
                <w:bCs/>
              </w:rPr>
              <w:t>Cấu hình bao gồm:</w:t>
            </w:r>
          </w:p>
          <w:p w14:paraId="50E3EAD1">
            <w:pPr>
              <w:spacing w:before="60" w:after="60" w:line="276" w:lineRule="auto"/>
              <w:rPr>
                <w:bCs/>
              </w:rPr>
            </w:pPr>
            <w:r>
              <w:rPr>
                <w:bCs/>
              </w:rPr>
              <w:t xml:space="preserve">- Máy vi tính: </w:t>
            </w:r>
          </w:p>
          <w:p w14:paraId="0A2CDCE8">
            <w:pPr>
              <w:spacing w:before="60" w:after="60" w:line="276" w:lineRule="auto"/>
              <w:rPr>
                <w:bCs/>
              </w:rPr>
            </w:pPr>
            <w:r>
              <w:rPr>
                <w:bCs/>
              </w:rPr>
              <w:t>+ Chip xử lý CPU ≥ 2.5 GHz.</w:t>
            </w:r>
          </w:p>
          <w:p w14:paraId="7CF33961">
            <w:pPr>
              <w:spacing w:before="60" w:after="60" w:line="276" w:lineRule="auto"/>
              <w:rPr>
                <w:bCs/>
              </w:rPr>
            </w:pPr>
            <w:r>
              <w:rPr>
                <w:bCs/>
              </w:rPr>
              <w:t>+ RAM ≥ 8GB.</w:t>
            </w:r>
          </w:p>
          <w:p w14:paraId="28B1FDC3">
            <w:pPr>
              <w:spacing w:before="60" w:after="60" w:line="276" w:lineRule="auto"/>
              <w:rPr>
                <w:bCs/>
              </w:rPr>
            </w:pPr>
            <w:r>
              <w:rPr>
                <w:bCs/>
              </w:rPr>
              <w:t>+ Ổ cứng SSD ≥ 200 GB.</w:t>
            </w:r>
          </w:p>
          <w:p w14:paraId="4E8D7B76">
            <w:pPr>
              <w:spacing w:before="60" w:after="60" w:line="276" w:lineRule="auto"/>
              <w:rPr>
                <w:bCs/>
              </w:rPr>
            </w:pPr>
            <w:r>
              <w:rPr>
                <w:bCs/>
              </w:rPr>
              <w:t>+ Chuột và bàn phím: 01 bộ.</w:t>
            </w:r>
          </w:p>
          <w:p w14:paraId="6E536885">
            <w:pPr>
              <w:spacing w:before="60" w:after="60" w:line="276" w:lineRule="auto"/>
              <w:rPr>
                <w:bCs/>
              </w:rPr>
            </w:pPr>
            <w:r>
              <w:rPr>
                <w:bCs/>
              </w:rPr>
              <w:t>- Màn hình LCD ≥ 21 inches.</w:t>
            </w:r>
          </w:p>
          <w:p w14:paraId="74E02AF3">
            <w:pPr>
              <w:spacing w:before="60" w:after="60" w:line="276" w:lineRule="auto"/>
              <w:rPr>
                <w:bCs/>
              </w:rPr>
            </w:pPr>
            <w:r>
              <w:rPr>
                <w:bCs/>
              </w:rPr>
              <w:t>- Phần mềm bản quyền.</w:t>
            </w:r>
          </w:p>
          <w:p w14:paraId="467EC447">
            <w:pPr>
              <w:spacing w:before="60" w:after="60" w:line="276" w:lineRule="auto"/>
              <w:rPr>
                <w:b/>
                <w:bCs/>
              </w:rPr>
            </w:pPr>
            <w:r>
              <w:rPr>
                <w:b/>
                <w:bCs/>
              </w:rPr>
              <w:t>3.7. Xe đẩy:</w:t>
            </w:r>
          </w:p>
          <w:p w14:paraId="4E3AC5A1">
            <w:pPr>
              <w:spacing w:before="60" w:after="60" w:line="276" w:lineRule="auto"/>
              <w:rPr>
                <w:bCs/>
              </w:rPr>
            </w:pPr>
            <w:r>
              <w:rPr>
                <w:bCs/>
              </w:rPr>
              <w:t>- Chất liệu: Inox 304 hoặc sơn tĩnh điện.</w:t>
            </w:r>
          </w:p>
          <w:p w14:paraId="5319A400">
            <w:pPr>
              <w:spacing w:before="60" w:after="60" w:line="276" w:lineRule="auto"/>
              <w:textAlignment w:val="center"/>
              <w:rPr>
                <w:rFonts w:eastAsia="Aptos Narrow"/>
                <w:bCs/>
                <w:lang w:val="en" w:eastAsia="zh-CN" w:bidi="ar"/>
              </w:rPr>
            </w:pPr>
            <w:r>
              <w:rPr>
                <w:bCs/>
              </w:rPr>
              <w:t>- Bao gồm giá treo và giữ ống, tay treo màn hình, khay để bàn phím, ổ cắm điện và phanh hãm bánh xe.</w:t>
            </w:r>
          </w:p>
        </w:tc>
      </w:tr>
    </w:tbl>
    <w:p w14:paraId="43F38929">
      <w:pPr>
        <w:widowControl w:val="0"/>
        <w:rPr>
          <w:i/>
          <w:iCs/>
          <w:sz w:val="28"/>
          <w:szCs w:val="28"/>
        </w:rPr>
        <w:sectPr>
          <w:footnotePr>
            <w:numStart w:val="2"/>
          </w:footnotePr>
          <w:type w:val="continuous"/>
          <w:pgSz w:w="11900" w:h="16840"/>
          <w:pgMar w:top="1247" w:right="1128" w:bottom="1134" w:left="1440" w:header="0" w:footer="6" w:gutter="0"/>
          <w:cols w:space="720" w:num="1"/>
          <w:docGrid w:linePitch="326" w:charSpace="0"/>
        </w:sectPr>
      </w:pPr>
    </w:p>
    <w:p w14:paraId="207AC86F">
      <w:pPr>
        <w:widowControl w:val="0"/>
        <w:jc w:val="center"/>
        <w:rPr>
          <w:b/>
          <w:bCs/>
          <w:sz w:val="28"/>
          <w:szCs w:val="28"/>
          <w:shd w:val="clear" w:color="auto" w:fill="FFFFFF"/>
          <w:lang w:val="vi-VN" w:eastAsia="vi-VN"/>
        </w:rPr>
      </w:pPr>
      <w:r>
        <w:rPr>
          <w:b/>
          <w:bCs/>
          <w:sz w:val="28"/>
          <w:szCs w:val="28"/>
          <w:shd w:val="clear" w:color="auto" w:fill="FFFFFF"/>
          <w:lang w:val="vi-VN" w:eastAsia="vi-VN"/>
        </w:rPr>
        <w:t>Mẫu báo giá</w:t>
      </w:r>
    </w:p>
    <w:p w14:paraId="0A255C2B">
      <w:pPr>
        <w:widowControl w:val="0"/>
        <w:jc w:val="center"/>
        <w:rPr>
          <w:b/>
          <w:bCs/>
          <w:sz w:val="28"/>
          <w:szCs w:val="28"/>
          <w:shd w:val="clear" w:color="auto" w:fill="FFFFFF"/>
          <w:lang w:val="vi-VN" w:eastAsia="vi-VN"/>
        </w:rPr>
      </w:pPr>
      <w:r>
        <w:rPr>
          <w:b/>
          <w:bCs/>
          <w:sz w:val="26"/>
          <w:szCs w:val="26"/>
        </w:rPr>
        <w:t>Gói thầu</w:t>
      </w:r>
      <w:r>
        <w:rPr>
          <w:b/>
          <w:spacing w:val="-4"/>
          <w:sz w:val="28"/>
          <w:szCs w:val="28"/>
          <w:shd w:val="clear" w:color="auto" w:fill="FFFFFF"/>
        </w:rPr>
        <w:t xml:space="preserve"> </w:t>
      </w:r>
      <w:r>
        <w:rPr>
          <w:b/>
          <w:bCs/>
          <w:sz w:val="28"/>
          <w:szCs w:val="28"/>
          <w:shd w:val="clear" w:color="auto" w:fill="FFFFFF"/>
          <w:lang w:eastAsia="vi-VN"/>
        </w:rPr>
        <w:t>Mua sắm Hệ thống nội soi tai mũi họng</w:t>
      </w:r>
    </w:p>
    <w:p w14:paraId="4F29F50F">
      <w:pPr>
        <w:widowControl w:val="0"/>
        <w:jc w:val="center"/>
        <w:rPr>
          <w:b/>
          <w:bCs/>
          <w:sz w:val="28"/>
          <w:szCs w:val="28"/>
          <w:shd w:val="clear" w:color="auto" w:fill="FFFFFF"/>
          <w:lang w:val="vi-VN" w:eastAsia="vi-VN"/>
        </w:rPr>
      </w:pPr>
      <w:r>
        <w:rPr>
          <w:b/>
          <w:bCs/>
          <w:sz w:val="28"/>
          <w:szCs w:val="28"/>
          <w:shd w:val="clear" w:color="auto" w:fill="FFFFFF"/>
          <w:lang w:val="vi-VN" w:eastAsia="vi-VN"/>
        </w:rPr>
        <w:t>BÁO GIÁ</w:t>
      </w:r>
    </w:p>
    <w:p w14:paraId="66A75862">
      <w:pPr>
        <w:widowControl w:val="0"/>
        <w:rPr>
          <w:bCs/>
          <w:sz w:val="28"/>
          <w:szCs w:val="28"/>
          <w:shd w:val="clear" w:color="auto" w:fill="FFFFFF"/>
          <w:lang w:val="vi-VN" w:eastAsia="vi-VN"/>
        </w:rPr>
      </w:pPr>
      <w:bookmarkStart w:id="0" w:name="bookmark9"/>
      <w:bookmarkStart w:id="1" w:name="bookmark8"/>
    </w:p>
    <w:p w14:paraId="07BC17E9">
      <w:pPr>
        <w:widowControl w:val="0"/>
        <w:jc w:val="center"/>
        <w:rPr>
          <w:bCs/>
          <w:sz w:val="28"/>
          <w:szCs w:val="28"/>
          <w:shd w:val="clear" w:color="auto" w:fill="FFFFFF"/>
          <w:lang w:val="vi-VN" w:eastAsia="vi-VN"/>
        </w:rPr>
      </w:pPr>
      <w:r>
        <w:rPr>
          <w:bCs/>
          <w:sz w:val="28"/>
          <w:szCs w:val="28"/>
          <w:shd w:val="clear" w:color="auto" w:fill="FFFFFF"/>
          <w:lang w:val="vi-VN" w:eastAsia="vi-VN"/>
        </w:rPr>
        <w:t>Kính gửi: ... [ghi rõ tên của Chủ đầu tư</w:t>
      </w:r>
      <w:r>
        <w:rPr>
          <w:bCs/>
          <w:sz w:val="28"/>
          <w:szCs w:val="28"/>
          <w:shd w:val="clear" w:color="auto" w:fill="FFFFFF"/>
          <w:lang w:eastAsia="vi-VN"/>
        </w:rPr>
        <w:t xml:space="preserve"> </w:t>
      </w:r>
      <w:r>
        <w:rPr>
          <w:bCs/>
          <w:sz w:val="28"/>
          <w:szCs w:val="28"/>
          <w:shd w:val="clear" w:color="auto" w:fill="FFFFFF"/>
          <w:lang w:val="vi-VN" w:eastAsia="vi-VN"/>
        </w:rPr>
        <w:t>yêu cầu báo giá</w:t>
      </w:r>
      <w:bookmarkEnd w:id="0"/>
      <w:bookmarkEnd w:id="1"/>
      <w:r>
        <w:rPr>
          <w:bCs/>
          <w:sz w:val="28"/>
          <w:szCs w:val="28"/>
          <w:shd w:val="clear" w:color="auto" w:fill="FFFFFF"/>
          <w:lang w:val="vi-VN" w:eastAsia="vi-VN"/>
        </w:rPr>
        <w:t>]</w:t>
      </w:r>
    </w:p>
    <w:p w14:paraId="5F895CD6">
      <w:pPr>
        <w:widowControl w:val="0"/>
        <w:rPr>
          <w:bCs/>
          <w:sz w:val="28"/>
          <w:szCs w:val="28"/>
          <w:shd w:val="clear" w:color="auto" w:fill="FFFFFF"/>
          <w:lang w:val="vi-VN" w:eastAsia="vi-VN"/>
        </w:rPr>
      </w:pPr>
    </w:p>
    <w:p w14:paraId="14B4B5BD">
      <w:pPr>
        <w:widowControl w:val="0"/>
        <w:spacing w:line="276" w:lineRule="auto"/>
        <w:ind w:firstLine="720"/>
        <w:jc w:val="both"/>
        <w:rPr>
          <w:bCs/>
          <w:sz w:val="28"/>
          <w:szCs w:val="28"/>
          <w:shd w:val="clear" w:color="auto" w:fill="FFFFFF"/>
          <w:lang w:eastAsia="vi-VN"/>
        </w:rPr>
      </w:pPr>
      <w:r>
        <w:rPr>
          <w:bCs/>
          <w:sz w:val="28"/>
          <w:szCs w:val="28"/>
          <w:shd w:val="clear" w:color="auto" w:fill="FFFFFF"/>
          <w:lang w:eastAsia="vi-VN"/>
        </w:rPr>
        <w:t xml:space="preserve">Trên cơ sở yêu cầu báo giá của.... </w:t>
      </w:r>
      <w:r>
        <w:rPr>
          <w:bCs/>
          <w:i/>
          <w:iCs/>
          <w:sz w:val="28"/>
          <w:szCs w:val="28"/>
          <w:shd w:val="clear" w:color="auto" w:fill="FFFFFF"/>
          <w:lang w:eastAsia="vi-VN"/>
        </w:rPr>
        <w:t>[ghi rõ tên của Chủ đầu tư yêu cầu báo giá],</w:t>
      </w:r>
      <w:r>
        <w:rPr>
          <w:bCs/>
          <w:sz w:val="28"/>
          <w:szCs w:val="28"/>
          <w:shd w:val="clear" w:color="auto" w:fill="FFFFFF"/>
          <w:lang w:eastAsia="vi-VN"/>
        </w:rPr>
        <w:t xml:space="preserve"> chúng </w:t>
      </w:r>
      <w:r>
        <w:rPr>
          <w:bCs/>
          <w:i/>
          <w:iCs/>
          <w:sz w:val="28"/>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bCs/>
          <w:sz w:val="28"/>
          <w:szCs w:val="28"/>
          <w:shd w:val="clear" w:color="auto" w:fill="FFFFFF"/>
          <w:lang w:eastAsia="vi-VN"/>
        </w:rPr>
        <w:t xml:space="preserve"> báo giá cho các loại vật tư, hoá chất, thiết bị y tế như sau:</w:t>
      </w:r>
    </w:p>
    <w:p w14:paraId="7DB9D545">
      <w:pPr>
        <w:widowControl w:val="0"/>
        <w:spacing w:after="120"/>
        <w:ind w:firstLine="720"/>
        <w:jc w:val="both"/>
        <w:rPr>
          <w:bCs/>
          <w:sz w:val="28"/>
          <w:szCs w:val="28"/>
          <w:shd w:val="clear" w:color="auto" w:fill="FFFFFF"/>
          <w:lang w:eastAsia="vi-VN"/>
        </w:rPr>
      </w:pPr>
      <w:r>
        <w:rPr>
          <w:bCs/>
          <w:sz w:val="28"/>
          <w:szCs w:val="28"/>
          <w:shd w:val="clear" w:color="auto" w:fill="FFFFFF"/>
          <w:lang w:eastAsia="vi-VN"/>
        </w:rPr>
        <w:t xml:space="preserve">1. Báo giá cho các </w:t>
      </w:r>
      <w:r>
        <w:rPr>
          <w:sz w:val="28"/>
          <w:szCs w:val="28"/>
          <w:shd w:val="clear" w:color="auto" w:fill="FFFFFF"/>
          <w:lang w:eastAsia="vi-VN"/>
        </w:rPr>
        <w:t>thiết bị y tế và dịch vụ liên quan :</w:t>
      </w:r>
    </w:p>
    <w:tbl>
      <w:tblPr>
        <w:tblStyle w:val="3"/>
        <w:tblW w:w="5773" w:type="pct"/>
        <w:jc w:val="center"/>
        <w:tblLayout w:type="autofit"/>
        <w:tblCellMar>
          <w:top w:w="0" w:type="dxa"/>
          <w:left w:w="0" w:type="dxa"/>
          <w:bottom w:w="0" w:type="dxa"/>
          <w:right w:w="0" w:type="dxa"/>
        </w:tblCellMar>
      </w:tblPr>
      <w:tblGrid>
        <w:gridCol w:w="608"/>
        <w:gridCol w:w="1024"/>
        <w:gridCol w:w="749"/>
        <w:gridCol w:w="919"/>
        <w:gridCol w:w="749"/>
        <w:gridCol w:w="810"/>
        <w:gridCol w:w="504"/>
        <w:gridCol w:w="744"/>
        <w:gridCol w:w="887"/>
        <w:gridCol w:w="633"/>
        <w:gridCol w:w="633"/>
        <w:gridCol w:w="906"/>
        <w:gridCol w:w="909"/>
        <w:gridCol w:w="871"/>
      </w:tblGrid>
      <w:tr w14:paraId="34B76B33">
        <w:tblPrEx>
          <w:tblCellMar>
            <w:top w:w="0" w:type="dxa"/>
            <w:left w:w="0" w:type="dxa"/>
            <w:bottom w:w="0" w:type="dxa"/>
            <w:right w:w="0" w:type="dxa"/>
          </w:tblCellMar>
        </w:tblPrEx>
        <w:trPr>
          <w:trHeight w:val="1820" w:hRule="atLeast"/>
          <w:jc w:val="center"/>
        </w:trPr>
        <w:tc>
          <w:tcPr>
            <w:tcW w:w="278" w:type="pct"/>
            <w:tcBorders>
              <w:top w:val="single" w:color="auto" w:sz="4" w:space="0"/>
              <w:left w:val="single" w:color="auto" w:sz="4" w:space="0"/>
              <w:bottom w:val="nil"/>
              <w:right w:val="nil"/>
            </w:tcBorders>
            <w:shd w:val="clear" w:color="auto" w:fill="FFFFFF"/>
            <w:vAlign w:val="center"/>
          </w:tcPr>
          <w:p w14:paraId="229C2CB6">
            <w:pPr>
              <w:widowControl w:val="0"/>
              <w:jc w:val="center"/>
              <w:rPr>
                <w:b/>
                <w:bCs/>
                <w:sz w:val="26"/>
                <w:szCs w:val="26"/>
                <w:shd w:val="clear" w:color="auto" w:fill="FFFFFF"/>
                <w:lang w:val="vi-VN" w:eastAsia="vi-VN"/>
              </w:rPr>
            </w:pPr>
            <w:r>
              <w:rPr>
                <w:b/>
                <w:bCs/>
                <w:sz w:val="26"/>
                <w:szCs w:val="26"/>
                <w:shd w:val="clear" w:color="auto" w:fill="FFFFFF"/>
                <w:lang w:val="vi-VN" w:eastAsia="vi-VN"/>
              </w:rPr>
              <w:t>STT</w:t>
            </w:r>
          </w:p>
        </w:tc>
        <w:tc>
          <w:tcPr>
            <w:tcW w:w="468" w:type="pct"/>
            <w:tcBorders>
              <w:top w:val="single" w:color="auto" w:sz="4" w:space="0"/>
              <w:left w:val="single" w:color="auto" w:sz="4" w:space="0"/>
              <w:bottom w:val="nil"/>
              <w:right w:val="single" w:color="auto" w:sz="4" w:space="0"/>
            </w:tcBorders>
            <w:shd w:val="clear" w:color="auto" w:fill="FFFFFF"/>
            <w:vAlign w:val="center"/>
          </w:tcPr>
          <w:p w14:paraId="1FE2EE46">
            <w:pPr>
              <w:widowControl w:val="0"/>
              <w:jc w:val="center"/>
              <w:rPr>
                <w:b/>
                <w:bCs/>
                <w:sz w:val="26"/>
                <w:szCs w:val="26"/>
                <w:shd w:val="clear" w:color="auto" w:fill="FFFFFF"/>
                <w:lang w:val="vi-VN" w:eastAsia="vi-VN"/>
              </w:rPr>
            </w:pPr>
            <w:r>
              <w:rPr>
                <w:b/>
                <w:sz w:val="26"/>
                <w:szCs w:val="26"/>
                <w:lang w:val="vi-VN" w:eastAsia="vi-VN"/>
              </w:rPr>
              <w:t>STT theo yêu cầu báo giá</w:t>
            </w:r>
          </w:p>
        </w:tc>
        <w:tc>
          <w:tcPr>
            <w:tcW w:w="342" w:type="pct"/>
            <w:tcBorders>
              <w:top w:val="single" w:color="auto" w:sz="4" w:space="0"/>
              <w:left w:val="single" w:color="auto" w:sz="4" w:space="0"/>
              <w:bottom w:val="nil"/>
              <w:right w:val="nil"/>
            </w:tcBorders>
            <w:shd w:val="clear" w:color="auto" w:fill="FFFFFF"/>
            <w:vAlign w:val="center"/>
          </w:tcPr>
          <w:p w14:paraId="0FF59EF1">
            <w:pPr>
              <w:widowControl w:val="0"/>
              <w:jc w:val="center"/>
              <w:rPr>
                <w:b/>
                <w:bCs/>
                <w:sz w:val="26"/>
                <w:szCs w:val="26"/>
                <w:shd w:val="clear" w:color="auto" w:fill="FFFFFF"/>
                <w:lang w:val="vi-VN" w:eastAsia="vi-VN"/>
              </w:rPr>
            </w:pPr>
            <w:r>
              <w:rPr>
                <w:b/>
                <w:bCs/>
                <w:sz w:val="26"/>
                <w:szCs w:val="26"/>
                <w:shd w:val="clear" w:color="auto" w:fill="FFFFFF"/>
                <w:lang w:val="vi-VN" w:eastAsia="vi-VN"/>
              </w:rPr>
              <w:t xml:space="preserve">Danh mục </w:t>
            </w:r>
            <w:r>
              <w:rPr>
                <w:b/>
                <w:bCs/>
                <w:sz w:val="26"/>
                <w:szCs w:val="26"/>
                <w:shd w:val="clear" w:color="auto" w:fill="FFFFFF"/>
                <w:lang w:eastAsia="vi-VN"/>
              </w:rPr>
              <w:t>hàng hóa</w:t>
            </w:r>
          </w:p>
        </w:tc>
        <w:tc>
          <w:tcPr>
            <w:tcW w:w="420" w:type="pct"/>
            <w:tcBorders>
              <w:top w:val="single" w:color="auto" w:sz="4" w:space="0"/>
              <w:left w:val="single" w:color="auto" w:sz="4" w:space="0"/>
              <w:bottom w:val="nil"/>
              <w:right w:val="nil"/>
            </w:tcBorders>
            <w:shd w:val="clear" w:color="auto" w:fill="FFFFFF"/>
            <w:vAlign w:val="center"/>
          </w:tcPr>
          <w:p w14:paraId="0AA14E4C">
            <w:pPr>
              <w:widowControl w:val="0"/>
              <w:jc w:val="center"/>
              <w:rPr>
                <w:b/>
                <w:bCs/>
                <w:sz w:val="26"/>
                <w:szCs w:val="26"/>
                <w:shd w:val="clear" w:color="auto" w:fill="FFFFFF"/>
                <w:lang w:val="vi-VN" w:eastAsia="vi-VN"/>
              </w:rPr>
            </w:pPr>
            <w:r>
              <w:rPr>
                <w:b/>
                <w:bCs/>
                <w:sz w:val="26"/>
                <w:szCs w:val="26"/>
                <w:shd w:val="clear" w:color="auto" w:fill="FFFFFF"/>
                <w:lang w:val="vi-VN" w:eastAsia="vi-VN"/>
              </w:rPr>
              <w:t xml:space="preserve">Ký, mã, nhãn hiệu, </w:t>
            </w:r>
            <w:r>
              <w:rPr>
                <w:b/>
                <w:bCs/>
                <w:sz w:val="26"/>
                <w:szCs w:val="26"/>
                <w:shd w:val="clear" w:color="auto" w:fill="FFFFFF"/>
                <w:lang w:eastAsia="vi-VN"/>
              </w:rPr>
              <w:t>model</w:t>
            </w:r>
          </w:p>
        </w:tc>
        <w:tc>
          <w:tcPr>
            <w:tcW w:w="342" w:type="pct"/>
            <w:tcBorders>
              <w:top w:val="single" w:color="auto" w:sz="4" w:space="0"/>
              <w:left w:val="single" w:color="auto" w:sz="4" w:space="0"/>
              <w:bottom w:val="nil"/>
              <w:right w:val="single" w:color="auto" w:sz="4" w:space="0"/>
            </w:tcBorders>
            <w:shd w:val="clear" w:color="auto" w:fill="FFFFFF"/>
            <w:vAlign w:val="center"/>
          </w:tcPr>
          <w:p w14:paraId="36246CF2">
            <w:pPr>
              <w:widowControl w:val="0"/>
              <w:jc w:val="center"/>
              <w:rPr>
                <w:b/>
                <w:bCs/>
                <w:sz w:val="26"/>
                <w:szCs w:val="26"/>
                <w:shd w:val="clear" w:color="auto" w:fill="FFFFFF"/>
                <w:lang w:eastAsia="vi-VN"/>
              </w:rPr>
            </w:pPr>
          </w:p>
          <w:p w14:paraId="7BC4154B">
            <w:pPr>
              <w:widowControl w:val="0"/>
              <w:jc w:val="center"/>
              <w:rPr>
                <w:b/>
                <w:bCs/>
                <w:sz w:val="26"/>
                <w:szCs w:val="26"/>
                <w:shd w:val="clear" w:color="auto" w:fill="FFFFFF"/>
                <w:lang w:eastAsia="vi-VN"/>
              </w:rPr>
            </w:pPr>
          </w:p>
          <w:p w14:paraId="40D86702">
            <w:pPr>
              <w:widowControl w:val="0"/>
              <w:jc w:val="center"/>
              <w:rPr>
                <w:b/>
                <w:bCs/>
                <w:sz w:val="26"/>
                <w:szCs w:val="26"/>
                <w:shd w:val="clear" w:color="auto" w:fill="FFFFFF"/>
                <w:lang w:val="vi-VN" w:eastAsia="vi-VN"/>
              </w:rPr>
            </w:pPr>
            <w:r>
              <w:rPr>
                <w:b/>
                <w:bCs/>
                <w:sz w:val="26"/>
                <w:szCs w:val="26"/>
                <w:shd w:val="clear" w:color="auto" w:fill="FFFFFF"/>
                <w:lang w:val="vi-VN" w:eastAsia="vi-VN"/>
              </w:rPr>
              <w:t>Hãng sản xuất</w:t>
            </w:r>
          </w:p>
        </w:tc>
        <w:tc>
          <w:tcPr>
            <w:tcW w:w="370" w:type="pct"/>
            <w:tcBorders>
              <w:top w:val="single" w:color="auto" w:sz="4" w:space="0"/>
              <w:left w:val="single" w:color="auto" w:sz="4" w:space="0"/>
              <w:bottom w:val="nil"/>
              <w:right w:val="single" w:color="auto" w:sz="4" w:space="0"/>
            </w:tcBorders>
            <w:shd w:val="clear" w:color="auto" w:fill="FFFFFF"/>
            <w:vAlign w:val="center"/>
          </w:tcPr>
          <w:p w14:paraId="72CD6959">
            <w:pPr>
              <w:widowControl w:val="0"/>
              <w:jc w:val="center"/>
              <w:rPr>
                <w:b/>
                <w:bCs/>
                <w:sz w:val="26"/>
                <w:szCs w:val="26"/>
                <w:shd w:val="clear" w:color="auto" w:fill="FFFFFF"/>
                <w:lang w:val="vi-VN" w:eastAsia="vi-VN"/>
              </w:rPr>
            </w:pPr>
            <w:r>
              <w:rPr>
                <w:b/>
                <w:bCs/>
                <w:sz w:val="26"/>
                <w:szCs w:val="26"/>
                <w:shd w:val="clear" w:color="auto" w:fill="FFFFFF"/>
                <w:lang w:val="vi-VN" w:eastAsia="vi-VN"/>
              </w:rPr>
              <w:t>Đặc tính kỹ thuật, thông số kỹ thuật</w:t>
            </w:r>
          </w:p>
        </w:tc>
        <w:tc>
          <w:tcPr>
            <w:tcW w:w="230" w:type="pct"/>
            <w:tcBorders>
              <w:top w:val="single" w:color="auto" w:sz="4" w:space="0"/>
              <w:left w:val="single" w:color="auto" w:sz="4" w:space="0"/>
              <w:bottom w:val="nil"/>
              <w:right w:val="nil"/>
            </w:tcBorders>
            <w:shd w:val="clear" w:color="auto" w:fill="FFFFFF"/>
            <w:vAlign w:val="center"/>
          </w:tcPr>
          <w:p w14:paraId="0E21BDCF">
            <w:pPr>
              <w:widowControl w:val="0"/>
              <w:jc w:val="center"/>
              <w:rPr>
                <w:b/>
                <w:bCs/>
                <w:sz w:val="26"/>
                <w:szCs w:val="26"/>
                <w:shd w:val="clear" w:color="auto" w:fill="FFFFFF"/>
                <w:vertAlign w:val="superscript"/>
                <w:lang w:eastAsia="vi-VN"/>
              </w:rPr>
            </w:pPr>
            <w:r>
              <w:rPr>
                <w:b/>
                <w:bCs/>
                <w:sz w:val="26"/>
                <w:szCs w:val="26"/>
                <w:shd w:val="clear" w:color="auto" w:fill="FFFFFF"/>
                <w:lang w:val="vi-VN" w:eastAsia="vi-VN"/>
              </w:rPr>
              <w:t>Mã HS</w:t>
            </w:r>
          </w:p>
        </w:tc>
        <w:tc>
          <w:tcPr>
            <w:tcW w:w="340" w:type="pct"/>
            <w:tcBorders>
              <w:top w:val="single" w:color="auto" w:sz="4" w:space="0"/>
              <w:left w:val="single" w:color="auto" w:sz="4" w:space="0"/>
              <w:bottom w:val="nil"/>
              <w:right w:val="nil"/>
            </w:tcBorders>
            <w:shd w:val="clear" w:color="auto" w:fill="FFFFFF"/>
            <w:vAlign w:val="center"/>
          </w:tcPr>
          <w:p w14:paraId="4F97DEDD">
            <w:pPr>
              <w:widowControl w:val="0"/>
              <w:jc w:val="center"/>
              <w:rPr>
                <w:b/>
                <w:bCs/>
                <w:sz w:val="26"/>
                <w:szCs w:val="26"/>
                <w:shd w:val="clear" w:color="auto" w:fill="FFFFFF"/>
                <w:vertAlign w:val="superscript"/>
                <w:lang w:eastAsia="vi-VN"/>
              </w:rPr>
            </w:pPr>
            <w:r>
              <w:rPr>
                <w:b/>
                <w:bCs/>
                <w:sz w:val="26"/>
                <w:szCs w:val="26"/>
                <w:shd w:val="clear" w:color="auto" w:fill="FFFFFF"/>
                <w:lang w:eastAsia="vi-VN"/>
              </w:rPr>
              <w:t>Nước sản xuất</w:t>
            </w:r>
          </w:p>
        </w:tc>
        <w:tc>
          <w:tcPr>
            <w:tcW w:w="405" w:type="pct"/>
            <w:tcBorders>
              <w:top w:val="single" w:color="auto" w:sz="4" w:space="0"/>
              <w:left w:val="single" w:color="auto" w:sz="4" w:space="0"/>
              <w:bottom w:val="nil"/>
              <w:right w:val="single" w:color="auto" w:sz="4" w:space="0"/>
            </w:tcBorders>
            <w:shd w:val="clear" w:color="auto" w:fill="FFFFFF"/>
            <w:vAlign w:val="center"/>
          </w:tcPr>
          <w:p w14:paraId="12C08BA2">
            <w:pPr>
              <w:widowControl w:val="0"/>
              <w:jc w:val="center"/>
              <w:rPr>
                <w:b/>
                <w:bCs/>
                <w:sz w:val="26"/>
                <w:szCs w:val="26"/>
                <w:shd w:val="clear" w:color="auto" w:fill="FFFFFF"/>
                <w:lang w:eastAsia="vi-VN"/>
              </w:rPr>
            </w:pPr>
            <w:r>
              <w:rPr>
                <w:b/>
                <w:bCs/>
                <w:sz w:val="26"/>
                <w:szCs w:val="26"/>
                <w:shd w:val="clear" w:color="auto" w:fill="FFFFFF"/>
                <w:lang w:val="vi-VN" w:eastAsia="vi-VN"/>
              </w:rPr>
              <w:t>Số lượng/</w:t>
            </w:r>
            <w:r>
              <w:rPr>
                <w:b/>
                <w:bCs/>
                <w:sz w:val="26"/>
                <w:szCs w:val="26"/>
                <w:shd w:val="clear" w:color="auto" w:fill="FFFFFF"/>
                <w:lang w:eastAsia="vi-VN"/>
              </w:rPr>
              <w:t xml:space="preserve"> </w:t>
            </w:r>
            <w:r>
              <w:rPr>
                <w:b/>
                <w:bCs/>
                <w:sz w:val="26"/>
                <w:szCs w:val="26"/>
                <w:shd w:val="clear" w:color="auto" w:fill="FFFFFF"/>
                <w:lang w:val="vi-VN" w:eastAsia="vi-VN"/>
              </w:rPr>
              <w:t>khối lượng</w:t>
            </w:r>
          </w:p>
        </w:tc>
        <w:tc>
          <w:tcPr>
            <w:tcW w:w="289" w:type="pct"/>
            <w:tcBorders>
              <w:top w:val="single" w:color="auto" w:sz="4" w:space="0"/>
              <w:left w:val="single" w:color="auto" w:sz="4" w:space="0"/>
              <w:bottom w:val="nil"/>
              <w:right w:val="single" w:color="auto" w:sz="4" w:space="0"/>
            </w:tcBorders>
            <w:shd w:val="clear" w:color="auto" w:fill="FFFFFF"/>
            <w:vAlign w:val="center"/>
          </w:tcPr>
          <w:p w14:paraId="221C0C75">
            <w:pPr>
              <w:widowControl w:val="0"/>
              <w:jc w:val="center"/>
              <w:rPr>
                <w:b/>
                <w:bCs/>
                <w:sz w:val="26"/>
                <w:szCs w:val="26"/>
                <w:shd w:val="clear" w:color="auto" w:fill="FFFFFF"/>
                <w:lang w:eastAsia="vi-VN"/>
              </w:rPr>
            </w:pPr>
            <w:r>
              <w:rPr>
                <w:b/>
                <w:bCs/>
                <w:sz w:val="26"/>
                <w:szCs w:val="26"/>
                <w:shd w:val="clear" w:color="auto" w:fill="FFFFFF"/>
                <w:lang w:eastAsia="vi-VN"/>
              </w:rPr>
              <w:t>Quy cách</w:t>
            </w:r>
          </w:p>
        </w:tc>
        <w:tc>
          <w:tcPr>
            <w:tcW w:w="289" w:type="pct"/>
            <w:tcBorders>
              <w:top w:val="single" w:color="auto" w:sz="4" w:space="0"/>
              <w:left w:val="single" w:color="auto" w:sz="4" w:space="0"/>
              <w:bottom w:val="nil"/>
              <w:right w:val="nil"/>
            </w:tcBorders>
            <w:shd w:val="clear" w:color="auto" w:fill="FFFFFF"/>
            <w:vAlign w:val="center"/>
          </w:tcPr>
          <w:p w14:paraId="187D3ABC">
            <w:pPr>
              <w:widowControl w:val="0"/>
              <w:jc w:val="center"/>
              <w:rPr>
                <w:b/>
                <w:bCs/>
                <w:sz w:val="26"/>
                <w:szCs w:val="26"/>
                <w:shd w:val="clear" w:color="auto" w:fill="FFFFFF"/>
                <w:lang w:val="vi-VN" w:eastAsia="vi-VN"/>
              </w:rPr>
            </w:pPr>
            <w:r>
              <w:rPr>
                <w:b/>
                <w:bCs/>
                <w:sz w:val="26"/>
                <w:szCs w:val="26"/>
                <w:shd w:val="clear" w:color="auto" w:fill="FFFFFF"/>
                <w:lang w:eastAsia="vi-VN"/>
              </w:rPr>
              <w:t>Đơn vị tính</w:t>
            </w:r>
          </w:p>
        </w:tc>
        <w:tc>
          <w:tcPr>
            <w:tcW w:w="414" w:type="pct"/>
            <w:tcBorders>
              <w:top w:val="single" w:color="auto" w:sz="4" w:space="0"/>
              <w:left w:val="single" w:color="auto" w:sz="4" w:space="0"/>
              <w:bottom w:val="nil"/>
              <w:right w:val="nil"/>
            </w:tcBorders>
            <w:shd w:val="clear" w:color="auto" w:fill="FFFFFF"/>
            <w:vAlign w:val="center"/>
          </w:tcPr>
          <w:p w14:paraId="34C0ADE4">
            <w:pPr>
              <w:widowControl w:val="0"/>
              <w:jc w:val="center"/>
              <w:rPr>
                <w:b/>
                <w:bCs/>
                <w:sz w:val="26"/>
                <w:szCs w:val="26"/>
                <w:shd w:val="clear" w:color="auto" w:fill="FFFFFF"/>
                <w:lang w:val="vi-VN" w:eastAsia="vi-VN"/>
              </w:rPr>
            </w:pPr>
            <w:r>
              <w:rPr>
                <w:b/>
                <w:bCs/>
                <w:sz w:val="26"/>
                <w:szCs w:val="26"/>
                <w:shd w:val="clear" w:color="auto" w:fill="FFFFFF"/>
                <w:lang w:val="vi-VN" w:eastAsia="vi-VN"/>
              </w:rPr>
              <w:t>Đơn giá</w:t>
            </w:r>
            <w:r>
              <w:rPr>
                <w:b/>
                <w:bCs/>
                <w:sz w:val="26"/>
                <w:szCs w:val="26"/>
                <w:shd w:val="clear" w:color="auto" w:fill="FFFFFF"/>
                <w:vertAlign w:val="superscript"/>
                <w:lang w:val="vi-VN" w:eastAsia="vi-VN"/>
              </w:rPr>
              <w:t xml:space="preserve"> </w:t>
            </w:r>
            <w:r>
              <w:rPr>
                <w:b/>
                <w:bCs/>
                <w:sz w:val="26"/>
                <w:szCs w:val="26"/>
                <w:shd w:val="clear" w:color="auto" w:fill="FFFFFF"/>
                <w:lang w:val="vi-VN" w:eastAsia="vi-VN"/>
              </w:rPr>
              <w:t>(VND)</w:t>
            </w:r>
          </w:p>
        </w:tc>
        <w:tc>
          <w:tcPr>
            <w:tcW w:w="415" w:type="pct"/>
            <w:tcBorders>
              <w:top w:val="single" w:color="auto" w:sz="4" w:space="0"/>
              <w:left w:val="single" w:color="auto" w:sz="4" w:space="0"/>
              <w:bottom w:val="nil"/>
              <w:right w:val="single" w:color="auto" w:sz="4" w:space="0"/>
            </w:tcBorders>
            <w:shd w:val="clear" w:color="auto" w:fill="FFFFFF"/>
            <w:vAlign w:val="center"/>
          </w:tcPr>
          <w:p w14:paraId="1DAE5D40">
            <w:pPr>
              <w:widowControl w:val="0"/>
              <w:jc w:val="center"/>
              <w:rPr>
                <w:b/>
                <w:bCs/>
                <w:sz w:val="26"/>
                <w:szCs w:val="26"/>
                <w:shd w:val="clear" w:color="auto" w:fill="FFFFFF"/>
                <w:lang w:eastAsia="vi-VN"/>
              </w:rPr>
            </w:pPr>
            <w:r>
              <w:rPr>
                <w:b/>
                <w:bCs/>
                <w:sz w:val="26"/>
                <w:szCs w:val="26"/>
                <w:shd w:val="clear" w:color="auto" w:fill="FFFFFF"/>
                <w:lang w:val="vi-VN" w:eastAsia="vi-VN"/>
              </w:rPr>
              <w:t>Thành tiền</w:t>
            </w:r>
          </w:p>
          <w:p w14:paraId="5FB4FA92">
            <w:pPr>
              <w:widowControl w:val="0"/>
              <w:jc w:val="center"/>
              <w:rPr>
                <w:b/>
                <w:bCs/>
                <w:sz w:val="26"/>
                <w:szCs w:val="26"/>
                <w:shd w:val="clear" w:color="auto" w:fill="FFFFFF"/>
                <w:lang w:val="vi-VN" w:eastAsia="vi-VN"/>
              </w:rPr>
            </w:pPr>
            <w:r>
              <w:rPr>
                <w:b/>
                <w:bCs/>
                <w:sz w:val="26"/>
                <w:szCs w:val="26"/>
                <w:shd w:val="clear" w:color="auto" w:fill="FFFFFF"/>
                <w:lang w:val="vi-VN" w:eastAsia="vi-VN"/>
              </w:rPr>
              <w:t>(VND)</w:t>
            </w:r>
          </w:p>
        </w:tc>
        <w:tc>
          <w:tcPr>
            <w:tcW w:w="398" w:type="pct"/>
            <w:tcBorders>
              <w:top w:val="single" w:color="auto" w:sz="4" w:space="0"/>
              <w:left w:val="single" w:color="auto" w:sz="4" w:space="0"/>
              <w:bottom w:val="nil"/>
              <w:right w:val="single" w:color="auto" w:sz="4" w:space="0"/>
            </w:tcBorders>
            <w:shd w:val="clear" w:color="auto" w:fill="FFFFFF"/>
          </w:tcPr>
          <w:p w14:paraId="27766B15">
            <w:pPr>
              <w:widowControl w:val="0"/>
              <w:jc w:val="center"/>
              <w:rPr>
                <w:b/>
                <w:bCs/>
                <w:sz w:val="26"/>
                <w:szCs w:val="26"/>
                <w:shd w:val="clear" w:color="auto" w:fill="FFFFFF"/>
                <w:lang w:eastAsia="vi-VN"/>
              </w:rPr>
            </w:pPr>
          </w:p>
          <w:p w14:paraId="0216D2D7">
            <w:pPr>
              <w:widowControl w:val="0"/>
              <w:jc w:val="center"/>
              <w:rPr>
                <w:b/>
                <w:bCs/>
                <w:sz w:val="26"/>
                <w:szCs w:val="26"/>
                <w:shd w:val="clear" w:color="auto" w:fill="FFFFFF"/>
                <w:lang w:eastAsia="vi-VN"/>
              </w:rPr>
            </w:pPr>
          </w:p>
          <w:p w14:paraId="0F0257DC">
            <w:pPr>
              <w:widowControl w:val="0"/>
              <w:jc w:val="center"/>
              <w:rPr>
                <w:b/>
                <w:bCs/>
                <w:sz w:val="26"/>
                <w:szCs w:val="26"/>
                <w:shd w:val="clear" w:color="auto" w:fill="FFFFFF"/>
                <w:lang w:eastAsia="vi-VN"/>
              </w:rPr>
            </w:pPr>
            <w:r>
              <w:rPr>
                <w:b/>
                <w:bCs/>
                <w:sz w:val="26"/>
                <w:szCs w:val="26"/>
                <w:shd w:val="clear" w:color="auto" w:fill="FFFFFF"/>
                <w:lang w:eastAsia="vi-VN"/>
              </w:rPr>
              <w:t>Thuế suất</w:t>
            </w:r>
          </w:p>
          <w:p w14:paraId="52D362D1">
            <w:pPr>
              <w:widowControl w:val="0"/>
              <w:jc w:val="center"/>
              <w:rPr>
                <w:b/>
                <w:bCs/>
                <w:sz w:val="26"/>
                <w:szCs w:val="26"/>
                <w:shd w:val="clear" w:color="auto" w:fill="FFFFFF"/>
                <w:lang w:eastAsia="vi-VN"/>
              </w:rPr>
            </w:pPr>
            <w:r>
              <w:rPr>
                <w:b/>
                <w:bCs/>
                <w:sz w:val="26"/>
                <w:szCs w:val="26"/>
                <w:shd w:val="clear" w:color="auto" w:fill="FFFFFF"/>
                <w:lang w:eastAsia="vi-VN"/>
              </w:rPr>
              <w:t>(%)</w:t>
            </w:r>
          </w:p>
        </w:tc>
      </w:tr>
      <w:tr w14:paraId="7A7D4945">
        <w:tblPrEx>
          <w:tblCellMar>
            <w:top w:w="0" w:type="dxa"/>
            <w:left w:w="0" w:type="dxa"/>
            <w:bottom w:w="0" w:type="dxa"/>
            <w:right w:w="0" w:type="dxa"/>
          </w:tblCellMar>
        </w:tblPrEx>
        <w:trPr>
          <w:trHeight w:val="16" w:hRule="atLeast"/>
          <w:jc w:val="center"/>
        </w:trPr>
        <w:tc>
          <w:tcPr>
            <w:tcW w:w="278" w:type="pct"/>
            <w:tcBorders>
              <w:top w:val="single" w:color="auto" w:sz="4" w:space="0"/>
              <w:left w:val="single" w:color="auto" w:sz="4" w:space="0"/>
              <w:bottom w:val="nil"/>
              <w:right w:val="nil"/>
            </w:tcBorders>
            <w:shd w:val="clear" w:color="auto" w:fill="FFFFFF"/>
            <w:vAlign w:val="bottom"/>
          </w:tcPr>
          <w:p w14:paraId="51DB25CC">
            <w:pPr>
              <w:widowControl w:val="0"/>
              <w:rPr>
                <w:bCs/>
                <w:sz w:val="26"/>
                <w:szCs w:val="26"/>
                <w:shd w:val="clear" w:color="auto" w:fill="FFFFFF"/>
                <w:lang w:val="vi-VN" w:eastAsia="vi-VN"/>
              </w:rPr>
            </w:pPr>
            <w:r>
              <w:rPr>
                <w:bCs/>
                <w:sz w:val="26"/>
                <w:szCs w:val="26"/>
                <w:shd w:val="clear" w:color="auto" w:fill="FFFFFF"/>
                <w:lang w:val="vi-VN" w:eastAsia="vi-VN"/>
              </w:rPr>
              <w:t>1</w:t>
            </w:r>
          </w:p>
        </w:tc>
        <w:tc>
          <w:tcPr>
            <w:tcW w:w="468" w:type="pct"/>
            <w:tcBorders>
              <w:top w:val="single" w:color="auto" w:sz="4" w:space="0"/>
              <w:left w:val="single" w:color="auto" w:sz="4" w:space="0"/>
              <w:bottom w:val="nil"/>
              <w:right w:val="single" w:color="auto" w:sz="4" w:space="0"/>
            </w:tcBorders>
            <w:shd w:val="clear" w:color="auto" w:fill="FFFFFF"/>
          </w:tcPr>
          <w:p w14:paraId="6F244F58">
            <w:pPr>
              <w:widowControl w:val="0"/>
              <w:rPr>
                <w:bCs/>
                <w:sz w:val="26"/>
                <w:szCs w:val="26"/>
                <w:shd w:val="clear" w:color="auto" w:fill="FFFFFF"/>
                <w:lang w:eastAsia="vi-VN"/>
              </w:rPr>
            </w:pPr>
          </w:p>
        </w:tc>
        <w:tc>
          <w:tcPr>
            <w:tcW w:w="342" w:type="pct"/>
            <w:tcBorders>
              <w:top w:val="single" w:color="auto" w:sz="4" w:space="0"/>
              <w:left w:val="single" w:color="auto" w:sz="4" w:space="0"/>
              <w:bottom w:val="nil"/>
              <w:right w:val="nil"/>
            </w:tcBorders>
            <w:shd w:val="clear" w:color="auto" w:fill="FFFFFF"/>
            <w:vAlign w:val="center"/>
          </w:tcPr>
          <w:p w14:paraId="2FAB6F1F">
            <w:pPr>
              <w:widowControl w:val="0"/>
              <w:rPr>
                <w:bCs/>
                <w:sz w:val="26"/>
                <w:szCs w:val="26"/>
                <w:shd w:val="clear" w:color="auto" w:fill="FFFFFF"/>
                <w:lang w:val="vi-VN" w:eastAsia="vi-VN"/>
              </w:rPr>
            </w:pPr>
            <w:r>
              <w:rPr>
                <w:bCs/>
                <w:sz w:val="26"/>
                <w:szCs w:val="26"/>
                <w:shd w:val="clear" w:color="auto" w:fill="FFFFFF"/>
                <w:lang w:eastAsia="vi-VN"/>
              </w:rPr>
              <w:t>Hàng hoá</w:t>
            </w:r>
            <w:r>
              <w:rPr>
                <w:bCs/>
                <w:sz w:val="26"/>
                <w:szCs w:val="26"/>
                <w:shd w:val="clear" w:color="auto" w:fill="FFFFFF"/>
                <w:lang w:val="vi-VN" w:eastAsia="vi-VN"/>
              </w:rPr>
              <w:t xml:space="preserve"> </w:t>
            </w:r>
            <w:r>
              <w:rPr>
                <w:bCs/>
                <w:sz w:val="26"/>
                <w:szCs w:val="26"/>
                <w:shd w:val="clear" w:color="auto" w:fill="FFFFFF"/>
                <w:lang w:eastAsia="vi-VN"/>
              </w:rPr>
              <w:t>A</w:t>
            </w:r>
          </w:p>
        </w:tc>
        <w:tc>
          <w:tcPr>
            <w:tcW w:w="420" w:type="pct"/>
            <w:tcBorders>
              <w:top w:val="single" w:color="auto" w:sz="4" w:space="0"/>
              <w:left w:val="single" w:color="auto" w:sz="4" w:space="0"/>
              <w:bottom w:val="nil"/>
              <w:right w:val="nil"/>
            </w:tcBorders>
            <w:shd w:val="clear" w:color="auto" w:fill="FFFFFF"/>
          </w:tcPr>
          <w:p w14:paraId="45DA6E19">
            <w:pPr>
              <w:widowControl w:val="0"/>
              <w:rPr>
                <w:bCs/>
                <w:sz w:val="28"/>
                <w:szCs w:val="28"/>
                <w:shd w:val="clear" w:color="auto" w:fill="FFFFFF"/>
                <w:lang w:val="vi-VN" w:eastAsia="vi-VN"/>
              </w:rPr>
            </w:pPr>
          </w:p>
        </w:tc>
        <w:tc>
          <w:tcPr>
            <w:tcW w:w="342" w:type="pct"/>
            <w:tcBorders>
              <w:top w:val="single" w:color="auto" w:sz="4" w:space="0"/>
              <w:left w:val="single" w:color="auto" w:sz="4" w:space="0"/>
              <w:bottom w:val="nil"/>
              <w:right w:val="single" w:color="auto" w:sz="4" w:space="0"/>
            </w:tcBorders>
            <w:shd w:val="clear" w:color="auto" w:fill="FFFFFF"/>
          </w:tcPr>
          <w:p w14:paraId="6713299A">
            <w:pPr>
              <w:widowControl w:val="0"/>
              <w:rPr>
                <w:bCs/>
                <w:sz w:val="28"/>
                <w:szCs w:val="28"/>
                <w:shd w:val="clear" w:color="auto" w:fill="FFFFFF"/>
                <w:lang w:val="vi-VN" w:eastAsia="vi-VN"/>
              </w:rPr>
            </w:pPr>
          </w:p>
        </w:tc>
        <w:tc>
          <w:tcPr>
            <w:tcW w:w="370" w:type="pct"/>
            <w:tcBorders>
              <w:top w:val="single" w:color="auto" w:sz="4" w:space="0"/>
              <w:left w:val="single" w:color="auto" w:sz="4" w:space="0"/>
              <w:bottom w:val="nil"/>
              <w:right w:val="single" w:color="auto" w:sz="4" w:space="0"/>
            </w:tcBorders>
            <w:shd w:val="clear" w:color="auto" w:fill="FFFFFF"/>
          </w:tcPr>
          <w:p w14:paraId="0FF5ED42">
            <w:pPr>
              <w:widowControl w:val="0"/>
              <w:rPr>
                <w:bCs/>
                <w:sz w:val="28"/>
                <w:szCs w:val="28"/>
                <w:shd w:val="clear" w:color="auto" w:fill="FFFFFF"/>
                <w:lang w:val="vi-VN" w:eastAsia="vi-VN"/>
              </w:rPr>
            </w:pPr>
          </w:p>
        </w:tc>
        <w:tc>
          <w:tcPr>
            <w:tcW w:w="230" w:type="pct"/>
            <w:tcBorders>
              <w:top w:val="single" w:color="auto" w:sz="4" w:space="0"/>
              <w:left w:val="single" w:color="auto" w:sz="4" w:space="0"/>
              <w:bottom w:val="nil"/>
              <w:right w:val="nil"/>
            </w:tcBorders>
            <w:shd w:val="clear" w:color="auto" w:fill="FFFFFF"/>
          </w:tcPr>
          <w:p w14:paraId="35A1CA2D">
            <w:pPr>
              <w:widowControl w:val="0"/>
              <w:rPr>
                <w:bCs/>
                <w:sz w:val="28"/>
                <w:szCs w:val="28"/>
                <w:shd w:val="clear" w:color="auto" w:fill="FFFFFF"/>
                <w:lang w:val="vi-VN" w:eastAsia="vi-VN"/>
              </w:rPr>
            </w:pPr>
          </w:p>
        </w:tc>
        <w:tc>
          <w:tcPr>
            <w:tcW w:w="340" w:type="pct"/>
            <w:tcBorders>
              <w:top w:val="single" w:color="auto" w:sz="4" w:space="0"/>
              <w:left w:val="single" w:color="auto" w:sz="4" w:space="0"/>
              <w:bottom w:val="nil"/>
              <w:right w:val="nil"/>
            </w:tcBorders>
            <w:shd w:val="clear" w:color="auto" w:fill="FFFFFF"/>
          </w:tcPr>
          <w:p w14:paraId="6379A5FF">
            <w:pPr>
              <w:widowControl w:val="0"/>
              <w:rPr>
                <w:bCs/>
                <w:sz w:val="28"/>
                <w:szCs w:val="28"/>
                <w:shd w:val="clear" w:color="auto" w:fill="FFFFFF"/>
                <w:lang w:val="vi-VN" w:eastAsia="vi-VN"/>
              </w:rPr>
            </w:pPr>
          </w:p>
        </w:tc>
        <w:tc>
          <w:tcPr>
            <w:tcW w:w="405" w:type="pct"/>
            <w:tcBorders>
              <w:top w:val="single" w:color="auto" w:sz="4" w:space="0"/>
              <w:left w:val="single" w:color="auto" w:sz="4" w:space="0"/>
              <w:bottom w:val="nil"/>
              <w:right w:val="single" w:color="auto" w:sz="4" w:space="0"/>
            </w:tcBorders>
            <w:shd w:val="clear" w:color="auto" w:fill="FFFFFF"/>
          </w:tcPr>
          <w:p w14:paraId="3D6D0959">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single" w:color="auto" w:sz="4" w:space="0"/>
            </w:tcBorders>
            <w:shd w:val="clear" w:color="auto" w:fill="FFFFFF"/>
          </w:tcPr>
          <w:p w14:paraId="554A4116">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nil"/>
            </w:tcBorders>
            <w:shd w:val="clear" w:color="auto" w:fill="FFFFFF"/>
          </w:tcPr>
          <w:p w14:paraId="12686B8E">
            <w:pPr>
              <w:widowControl w:val="0"/>
              <w:rPr>
                <w:bCs/>
                <w:sz w:val="28"/>
                <w:szCs w:val="28"/>
                <w:shd w:val="clear" w:color="auto" w:fill="FFFFFF"/>
                <w:lang w:val="vi-VN" w:eastAsia="vi-VN"/>
              </w:rPr>
            </w:pPr>
          </w:p>
        </w:tc>
        <w:tc>
          <w:tcPr>
            <w:tcW w:w="414" w:type="pct"/>
            <w:tcBorders>
              <w:top w:val="single" w:color="auto" w:sz="4" w:space="0"/>
              <w:left w:val="single" w:color="auto" w:sz="4" w:space="0"/>
              <w:bottom w:val="nil"/>
              <w:right w:val="nil"/>
            </w:tcBorders>
            <w:shd w:val="clear" w:color="auto" w:fill="FFFFFF"/>
          </w:tcPr>
          <w:p w14:paraId="5C322934">
            <w:pPr>
              <w:widowControl w:val="0"/>
              <w:rPr>
                <w:bCs/>
                <w:sz w:val="28"/>
                <w:szCs w:val="28"/>
                <w:shd w:val="clear" w:color="auto" w:fill="FFFFFF"/>
                <w:lang w:val="vi-VN" w:eastAsia="vi-VN"/>
              </w:rPr>
            </w:pPr>
          </w:p>
        </w:tc>
        <w:tc>
          <w:tcPr>
            <w:tcW w:w="415" w:type="pct"/>
            <w:tcBorders>
              <w:top w:val="single" w:color="auto" w:sz="4" w:space="0"/>
              <w:left w:val="single" w:color="auto" w:sz="4" w:space="0"/>
              <w:bottom w:val="nil"/>
              <w:right w:val="single" w:color="auto" w:sz="4" w:space="0"/>
            </w:tcBorders>
            <w:shd w:val="clear" w:color="auto" w:fill="FFFFFF"/>
          </w:tcPr>
          <w:p w14:paraId="5A0C0D2E">
            <w:pPr>
              <w:widowControl w:val="0"/>
              <w:rPr>
                <w:bCs/>
                <w:sz w:val="28"/>
                <w:szCs w:val="28"/>
                <w:shd w:val="clear" w:color="auto" w:fill="FFFFFF"/>
                <w:lang w:val="vi-VN" w:eastAsia="vi-VN"/>
              </w:rPr>
            </w:pPr>
          </w:p>
        </w:tc>
        <w:tc>
          <w:tcPr>
            <w:tcW w:w="398" w:type="pct"/>
            <w:tcBorders>
              <w:top w:val="single" w:color="auto" w:sz="4" w:space="0"/>
              <w:left w:val="single" w:color="auto" w:sz="4" w:space="0"/>
              <w:bottom w:val="nil"/>
              <w:right w:val="single" w:color="auto" w:sz="4" w:space="0"/>
            </w:tcBorders>
            <w:shd w:val="clear" w:color="auto" w:fill="FFFFFF"/>
          </w:tcPr>
          <w:p w14:paraId="624857C0">
            <w:pPr>
              <w:widowControl w:val="0"/>
              <w:rPr>
                <w:bCs/>
                <w:sz w:val="28"/>
                <w:szCs w:val="28"/>
                <w:shd w:val="clear" w:color="auto" w:fill="FFFFFF"/>
                <w:lang w:val="vi-VN" w:eastAsia="vi-VN"/>
              </w:rPr>
            </w:pPr>
          </w:p>
        </w:tc>
      </w:tr>
      <w:tr w14:paraId="2B17C907">
        <w:tblPrEx>
          <w:tblCellMar>
            <w:top w:w="0" w:type="dxa"/>
            <w:left w:w="0" w:type="dxa"/>
            <w:bottom w:w="0" w:type="dxa"/>
            <w:right w:w="0" w:type="dxa"/>
          </w:tblCellMar>
        </w:tblPrEx>
        <w:trPr>
          <w:trHeight w:val="16" w:hRule="atLeast"/>
          <w:jc w:val="center"/>
        </w:trPr>
        <w:tc>
          <w:tcPr>
            <w:tcW w:w="278" w:type="pct"/>
            <w:tcBorders>
              <w:top w:val="single" w:color="auto" w:sz="4" w:space="0"/>
              <w:left w:val="single" w:color="auto" w:sz="4" w:space="0"/>
              <w:bottom w:val="nil"/>
              <w:right w:val="nil"/>
            </w:tcBorders>
            <w:shd w:val="clear" w:color="auto" w:fill="FFFFFF"/>
            <w:vAlign w:val="bottom"/>
          </w:tcPr>
          <w:p w14:paraId="65113237">
            <w:pPr>
              <w:widowControl w:val="0"/>
              <w:rPr>
                <w:bCs/>
                <w:sz w:val="26"/>
                <w:szCs w:val="26"/>
                <w:shd w:val="clear" w:color="auto" w:fill="FFFFFF"/>
                <w:lang w:val="vi-VN" w:eastAsia="vi-VN"/>
              </w:rPr>
            </w:pPr>
            <w:r>
              <w:rPr>
                <w:bCs/>
                <w:sz w:val="26"/>
                <w:szCs w:val="26"/>
                <w:shd w:val="clear" w:color="auto" w:fill="FFFFFF"/>
                <w:lang w:val="vi-VN" w:eastAsia="vi-VN"/>
              </w:rPr>
              <w:t>2</w:t>
            </w:r>
          </w:p>
        </w:tc>
        <w:tc>
          <w:tcPr>
            <w:tcW w:w="468" w:type="pct"/>
            <w:tcBorders>
              <w:top w:val="single" w:color="auto" w:sz="4" w:space="0"/>
              <w:left w:val="single" w:color="auto" w:sz="4" w:space="0"/>
              <w:bottom w:val="nil"/>
              <w:right w:val="single" w:color="auto" w:sz="4" w:space="0"/>
            </w:tcBorders>
            <w:shd w:val="clear" w:color="auto" w:fill="FFFFFF"/>
          </w:tcPr>
          <w:p w14:paraId="29498E4C">
            <w:pPr>
              <w:widowControl w:val="0"/>
              <w:rPr>
                <w:bCs/>
                <w:sz w:val="26"/>
                <w:szCs w:val="26"/>
                <w:shd w:val="clear" w:color="auto" w:fill="FFFFFF"/>
                <w:lang w:eastAsia="vi-VN"/>
              </w:rPr>
            </w:pPr>
          </w:p>
        </w:tc>
        <w:tc>
          <w:tcPr>
            <w:tcW w:w="342" w:type="pct"/>
            <w:tcBorders>
              <w:top w:val="single" w:color="auto" w:sz="4" w:space="0"/>
              <w:left w:val="single" w:color="auto" w:sz="4" w:space="0"/>
              <w:bottom w:val="nil"/>
              <w:right w:val="nil"/>
            </w:tcBorders>
            <w:shd w:val="clear" w:color="auto" w:fill="FFFFFF"/>
            <w:vAlign w:val="center"/>
          </w:tcPr>
          <w:p w14:paraId="5FF6EF09">
            <w:pPr>
              <w:widowControl w:val="0"/>
              <w:rPr>
                <w:bCs/>
                <w:sz w:val="26"/>
                <w:szCs w:val="26"/>
                <w:shd w:val="clear" w:color="auto" w:fill="FFFFFF"/>
                <w:lang w:val="vi-VN" w:eastAsia="vi-VN"/>
              </w:rPr>
            </w:pPr>
            <w:r>
              <w:rPr>
                <w:bCs/>
                <w:sz w:val="26"/>
                <w:szCs w:val="26"/>
                <w:shd w:val="clear" w:color="auto" w:fill="FFFFFF"/>
                <w:lang w:eastAsia="vi-VN"/>
              </w:rPr>
              <w:t>Hàng hoá</w:t>
            </w:r>
            <w:r>
              <w:rPr>
                <w:bCs/>
                <w:sz w:val="26"/>
                <w:szCs w:val="26"/>
                <w:shd w:val="clear" w:color="auto" w:fill="FFFFFF"/>
                <w:lang w:val="vi-VN" w:eastAsia="vi-VN"/>
              </w:rPr>
              <w:t xml:space="preserve"> B</w:t>
            </w:r>
          </w:p>
        </w:tc>
        <w:tc>
          <w:tcPr>
            <w:tcW w:w="420" w:type="pct"/>
            <w:tcBorders>
              <w:top w:val="single" w:color="auto" w:sz="4" w:space="0"/>
              <w:left w:val="single" w:color="auto" w:sz="4" w:space="0"/>
              <w:bottom w:val="nil"/>
              <w:right w:val="nil"/>
            </w:tcBorders>
            <w:shd w:val="clear" w:color="auto" w:fill="FFFFFF"/>
          </w:tcPr>
          <w:p w14:paraId="5A3FEE1E">
            <w:pPr>
              <w:widowControl w:val="0"/>
              <w:rPr>
                <w:bCs/>
                <w:sz w:val="28"/>
                <w:szCs w:val="28"/>
                <w:shd w:val="clear" w:color="auto" w:fill="FFFFFF"/>
                <w:lang w:val="vi-VN" w:eastAsia="vi-VN"/>
              </w:rPr>
            </w:pPr>
          </w:p>
        </w:tc>
        <w:tc>
          <w:tcPr>
            <w:tcW w:w="342" w:type="pct"/>
            <w:tcBorders>
              <w:top w:val="single" w:color="auto" w:sz="4" w:space="0"/>
              <w:left w:val="single" w:color="auto" w:sz="4" w:space="0"/>
              <w:bottom w:val="nil"/>
              <w:right w:val="single" w:color="auto" w:sz="4" w:space="0"/>
            </w:tcBorders>
            <w:shd w:val="clear" w:color="auto" w:fill="FFFFFF"/>
          </w:tcPr>
          <w:p w14:paraId="50471EAE">
            <w:pPr>
              <w:widowControl w:val="0"/>
              <w:rPr>
                <w:bCs/>
                <w:sz w:val="28"/>
                <w:szCs w:val="28"/>
                <w:shd w:val="clear" w:color="auto" w:fill="FFFFFF"/>
                <w:lang w:val="vi-VN" w:eastAsia="vi-VN"/>
              </w:rPr>
            </w:pPr>
          </w:p>
        </w:tc>
        <w:tc>
          <w:tcPr>
            <w:tcW w:w="370" w:type="pct"/>
            <w:tcBorders>
              <w:top w:val="single" w:color="auto" w:sz="4" w:space="0"/>
              <w:left w:val="single" w:color="auto" w:sz="4" w:space="0"/>
              <w:bottom w:val="nil"/>
              <w:right w:val="single" w:color="auto" w:sz="4" w:space="0"/>
            </w:tcBorders>
            <w:shd w:val="clear" w:color="auto" w:fill="FFFFFF"/>
          </w:tcPr>
          <w:p w14:paraId="79C556F3">
            <w:pPr>
              <w:widowControl w:val="0"/>
              <w:rPr>
                <w:bCs/>
                <w:sz w:val="28"/>
                <w:szCs w:val="28"/>
                <w:shd w:val="clear" w:color="auto" w:fill="FFFFFF"/>
                <w:lang w:val="vi-VN" w:eastAsia="vi-VN"/>
              </w:rPr>
            </w:pPr>
          </w:p>
        </w:tc>
        <w:tc>
          <w:tcPr>
            <w:tcW w:w="230" w:type="pct"/>
            <w:tcBorders>
              <w:top w:val="single" w:color="auto" w:sz="4" w:space="0"/>
              <w:left w:val="single" w:color="auto" w:sz="4" w:space="0"/>
              <w:bottom w:val="nil"/>
              <w:right w:val="nil"/>
            </w:tcBorders>
            <w:shd w:val="clear" w:color="auto" w:fill="FFFFFF"/>
          </w:tcPr>
          <w:p w14:paraId="31907D93">
            <w:pPr>
              <w:widowControl w:val="0"/>
              <w:rPr>
                <w:bCs/>
                <w:sz w:val="28"/>
                <w:szCs w:val="28"/>
                <w:shd w:val="clear" w:color="auto" w:fill="FFFFFF"/>
                <w:lang w:val="vi-VN" w:eastAsia="vi-VN"/>
              </w:rPr>
            </w:pPr>
          </w:p>
        </w:tc>
        <w:tc>
          <w:tcPr>
            <w:tcW w:w="340" w:type="pct"/>
            <w:tcBorders>
              <w:top w:val="single" w:color="auto" w:sz="4" w:space="0"/>
              <w:left w:val="single" w:color="auto" w:sz="4" w:space="0"/>
              <w:bottom w:val="nil"/>
              <w:right w:val="nil"/>
            </w:tcBorders>
            <w:shd w:val="clear" w:color="auto" w:fill="FFFFFF"/>
          </w:tcPr>
          <w:p w14:paraId="343836E7">
            <w:pPr>
              <w:widowControl w:val="0"/>
              <w:rPr>
                <w:bCs/>
                <w:sz w:val="28"/>
                <w:szCs w:val="28"/>
                <w:shd w:val="clear" w:color="auto" w:fill="FFFFFF"/>
                <w:lang w:val="vi-VN" w:eastAsia="vi-VN"/>
              </w:rPr>
            </w:pPr>
          </w:p>
        </w:tc>
        <w:tc>
          <w:tcPr>
            <w:tcW w:w="405" w:type="pct"/>
            <w:tcBorders>
              <w:top w:val="single" w:color="auto" w:sz="4" w:space="0"/>
              <w:left w:val="single" w:color="auto" w:sz="4" w:space="0"/>
              <w:bottom w:val="nil"/>
              <w:right w:val="single" w:color="auto" w:sz="4" w:space="0"/>
            </w:tcBorders>
            <w:shd w:val="clear" w:color="auto" w:fill="FFFFFF"/>
          </w:tcPr>
          <w:p w14:paraId="3D434FA6">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single" w:color="auto" w:sz="4" w:space="0"/>
            </w:tcBorders>
            <w:shd w:val="clear" w:color="auto" w:fill="FFFFFF"/>
          </w:tcPr>
          <w:p w14:paraId="49F28A78">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nil"/>
            </w:tcBorders>
            <w:shd w:val="clear" w:color="auto" w:fill="FFFFFF"/>
          </w:tcPr>
          <w:p w14:paraId="25A9B9BD">
            <w:pPr>
              <w:widowControl w:val="0"/>
              <w:rPr>
                <w:bCs/>
                <w:sz w:val="28"/>
                <w:szCs w:val="28"/>
                <w:shd w:val="clear" w:color="auto" w:fill="FFFFFF"/>
                <w:lang w:val="vi-VN" w:eastAsia="vi-VN"/>
              </w:rPr>
            </w:pPr>
          </w:p>
        </w:tc>
        <w:tc>
          <w:tcPr>
            <w:tcW w:w="414" w:type="pct"/>
            <w:tcBorders>
              <w:top w:val="single" w:color="auto" w:sz="4" w:space="0"/>
              <w:left w:val="single" w:color="auto" w:sz="4" w:space="0"/>
              <w:bottom w:val="nil"/>
              <w:right w:val="nil"/>
            </w:tcBorders>
            <w:shd w:val="clear" w:color="auto" w:fill="FFFFFF"/>
          </w:tcPr>
          <w:p w14:paraId="52CE5839">
            <w:pPr>
              <w:widowControl w:val="0"/>
              <w:rPr>
                <w:bCs/>
                <w:sz w:val="28"/>
                <w:szCs w:val="28"/>
                <w:shd w:val="clear" w:color="auto" w:fill="FFFFFF"/>
                <w:lang w:val="vi-VN" w:eastAsia="vi-VN"/>
              </w:rPr>
            </w:pPr>
          </w:p>
        </w:tc>
        <w:tc>
          <w:tcPr>
            <w:tcW w:w="415" w:type="pct"/>
            <w:tcBorders>
              <w:top w:val="single" w:color="auto" w:sz="4" w:space="0"/>
              <w:left w:val="single" w:color="auto" w:sz="4" w:space="0"/>
              <w:bottom w:val="nil"/>
              <w:right w:val="single" w:color="auto" w:sz="4" w:space="0"/>
            </w:tcBorders>
            <w:shd w:val="clear" w:color="auto" w:fill="FFFFFF"/>
          </w:tcPr>
          <w:p w14:paraId="1FE4ECBC">
            <w:pPr>
              <w:widowControl w:val="0"/>
              <w:rPr>
                <w:bCs/>
                <w:sz w:val="28"/>
                <w:szCs w:val="28"/>
                <w:shd w:val="clear" w:color="auto" w:fill="FFFFFF"/>
                <w:lang w:val="vi-VN" w:eastAsia="vi-VN"/>
              </w:rPr>
            </w:pPr>
          </w:p>
        </w:tc>
        <w:tc>
          <w:tcPr>
            <w:tcW w:w="398" w:type="pct"/>
            <w:tcBorders>
              <w:top w:val="single" w:color="auto" w:sz="4" w:space="0"/>
              <w:left w:val="single" w:color="auto" w:sz="4" w:space="0"/>
              <w:bottom w:val="nil"/>
              <w:right w:val="single" w:color="auto" w:sz="4" w:space="0"/>
            </w:tcBorders>
            <w:shd w:val="clear" w:color="auto" w:fill="FFFFFF"/>
          </w:tcPr>
          <w:p w14:paraId="08354F1F">
            <w:pPr>
              <w:widowControl w:val="0"/>
              <w:rPr>
                <w:bCs/>
                <w:sz w:val="28"/>
                <w:szCs w:val="28"/>
                <w:shd w:val="clear" w:color="auto" w:fill="FFFFFF"/>
                <w:lang w:val="vi-VN" w:eastAsia="vi-VN"/>
              </w:rPr>
            </w:pPr>
          </w:p>
        </w:tc>
      </w:tr>
      <w:tr w14:paraId="395F7256">
        <w:tblPrEx>
          <w:tblCellMar>
            <w:top w:w="0" w:type="dxa"/>
            <w:left w:w="0" w:type="dxa"/>
            <w:bottom w:w="0" w:type="dxa"/>
            <w:right w:w="0" w:type="dxa"/>
          </w:tblCellMar>
        </w:tblPrEx>
        <w:trPr>
          <w:trHeight w:val="16" w:hRule="atLeast"/>
          <w:jc w:val="center"/>
        </w:trPr>
        <w:tc>
          <w:tcPr>
            <w:tcW w:w="278" w:type="pct"/>
            <w:tcBorders>
              <w:top w:val="single" w:color="auto" w:sz="4" w:space="0"/>
              <w:left w:val="single" w:color="auto" w:sz="4" w:space="0"/>
              <w:bottom w:val="single" w:color="auto" w:sz="4" w:space="0"/>
              <w:right w:val="nil"/>
            </w:tcBorders>
            <w:shd w:val="clear" w:color="auto" w:fill="FFFFFF"/>
            <w:vAlign w:val="center"/>
          </w:tcPr>
          <w:p w14:paraId="7740E584">
            <w:pPr>
              <w:widowControl w:val="0"/>
              <w:rPr>
                <w:bCs/>
                <w:sz w:val="26"/>
                <w:szCs w:val="26"/>
                <w:shd w:val="clear" w:color="auto" w:fill="FFFFFF"/>
                <w:lang w:val="vi-VN" w:eastAsia="vi-VN"/>
              </w:rPr>
            </w:pPr>
            <w:r>
              <w:rPr>
                <w:bCs/>
                <w:sz w:val="26"/>
                <w:szCs w:val="26"/>
                <w:shd w:val="clear" w:color="auto" w:fill="FFFFFF"/>
                <w:lang w:val="vi-VN" w:eastAsia="vi-VN"/>
              </w:rPr>
              <w:t>n</w:t>
            </w:r>
          </w:p>
        </w:tc>
        <w:tc>
          <w:tcPr>
            <w:tcW w:w="468" w:type="pct"/>
            <w:tcBorders>
              <w:top w:val="single" w:color="auto" w:sz="4" w:space="0"/>
              <w:left w:val="single" w:color="auto" w:sz="4" w:space="0"/>
              <w:bottom w:val="single" w:color="auto" w:sz="4" w:space="0"/>
              <w:right w:val="single" w:color="auto" w:sz="4" w:space="0"/>
            </w:tcBorders>
            <w:shd w:val="clear" w:color="auto" w:fill="FFFFFF"/>
          </w:tcPr>
          <w:p w14:paraId="2D129544">
            <w:pPr>
              <w:widowControl w:val="0"/>
              <w:rPr>
                <w:bCs/>
                <w:sz w:val="26"/>
                <w:szCs w:val="26"/>
                <w:shd w:val="clear" w:color="auto" w:fill="FFFFFF"/>
                <w:lang w:eastAsia="vi-VN"/>
              </w:rPr>
            </w:pPr>
          </w:p>
        </w:tc>
        <w:tc>
          <w:tcPr>
            <w:tcW w:w="342" w:type="pct"/>
            <w:tcBorders>
              <w:top w:val="single" w:color="auto" w:sz="4" w:space="0"/>
              <w:left w:val="single" w:color="auto" w:sz="4" w:space="0"/>
              <w:bottom w:val="single" w:color="auto" w:sz="4" w:space="0"/>
              <w:right w:val="nil"/>
            </w:tcBorders>
            <w:shd w:val="clear" w:color="auto" w:fill="FFFFFF"/>
          </w:tcPr>
          <w:p w14:paraId="1980E9FC">
            <w:pPr>
              <w:widowControl w:val="0"/>
              <w:rPr>
                <w:bCs/>
                <w:sz w:val="26"/>
                <w:szCs w:val="26"/>
                <w:shd w:val="clear" w:color="auto" w:fill="FFFFFF"/>
                <w:lang w:eastAsia="vi-VN"/>
              </w:rPr>
            </w:pPr>
            <w:r>
              <w:rPr>
                <w:bCs/>
                <w:sz w:val="26"/>
                <w:szCs w:val="26"/>
                <w:shd w:val="clear" w:color="auto" w:fill="FFFFFF"/>
                <w:lang w:eastAsia="vi-VN"/>
              </w:rPr>
              <w:t>…</w:t>
            </w:r>
          </w:p>
        </w:tc>
        <w:tc>
          <w:tcPr>
            <w:tcW w:w="420" w:type="pct"/>
            <w:tcBorders>
              <w:top w:val="single" w:color="auto" w:sz="4" w:space="0"/>
              <w:left w:val="single" w:color="auto" w:sz="4" w:space="0"/>
              <w:bottom w:val="single" w:color="auto" w:sz="4" w:space="0"/>
              <w:right w:val="nil"/>
            </w:tcBorders>
            <w:shd w:val="clear" w:color="auto" w:fill="FFFFFF"/>
          </w:tcPr>
          <w:p w14:paraId="65455C5A">
            <w:pPr>
              <w:widowControl w:val="0"/>
              <w:rPr>
                <w:bCs/>
                <w:sz w:val="28"/>
                <w:szCs w:val="28"/>
                <w:shd w:val="clear" w:color="auto" w:fill="FFFFFF"/>
                <w:lang w:val="vi-VN" w:eastAsia="vi-VN"/>
              </w:rPr>
            </w:pPr>
          </w:p>
        </w:tc>
        <w:tc>
          <w:tcPr>
            <w:tcW w:w="342" w:type="pct"/>
            <w:tcBorders>
              <w:top w:val="single" w:color="auto" w:sz="4" w:space="0"/>
              <w:left w:val="single" w:color="auto" w:sz="4" w:space="0"/>
              <w:bottom w:val="single" w:color="auto" w:sz="4" w:space="0"/>
              <w:right w:val="single" w:color="auto" w:sz="4" w:space="0"/>
            </w:tcBorders>
            <w:shd w:val="clear" w:color="auto" w:fill="FFFFFF"/>
          </w:tcPr>
          <w:p w14:paraId="0AFD0C02">
            <w:pPr>
              <w:widowControl w:val="0"/>
              <w:rPr>
                <w:bCs/>
                <w:sz w:val="28"/>
                <w:szCs w:val="28"/>
                <w:shd w:val="clear" w:color="auto" w:fill="FFFFFF"/>
                <w:lang w:val="vi-VN" w:eastAsia="vi-VN"/>
              </w:rPr>
            </w:pPr>
          </w:p>
        </w:tc>
        <w:tc>
          <w:tcPr>
            <w:tcW w:w="370" w:type="pct"/>
            <w:tcBorders>
              <w:top w:val="single" w:color="auto" w:sz="4" w:space="0"/>
              <w:left w:val="single" w:color="auto" w:sz="4" w:space="0"/>
              <w:bottom w:val="single" w:color="auto" w:sz="4" w:space="0"/>
              <w:right w:val="single" w:color="auto" w:sz="4" w:space="0"/>
            </w:tcBorders>
            <w:shd w:val="clear" w:color="auto" w:fill="FFFFFF"/>
          </w:tcPr>
          <w:p w14:paraId="7D1D2534">
            <w:pPr>
              <w:widowControl w:val="0"/>
              <w:rPr>
                <w:bCs/>
                <w:sz w:val="28"/>
                <w:szCs w:val="28"/>
                <w:shd w:val="clear" w:color="auto" w:fill="FFFFFF"/>
                <w:lang w:val="vi-VN" w:eastAsia="vi-VN"/>
              </w:rPr>
            </w:pPr>
          </w:p>
        </w:tc>
        <w:tc>
          <w:tcPr>
            <w:tcW w:w="230" w:type="pct"/>
            <w:tcBorders>
              <w:top w:val="single" w:color="auto" w:sz="4" w:space="0"/>
              <w:left w:val="single" w:color="auto" w:sz="4" w:space="0"/>
              <w:bottom w:val="single" w:color="auto" w:sz="4" w:space="0"/>
              <w:right w:val="nil"/>
            </w:tcBorders>
            <w:shd w:val="clear" w:color="auto" w:fill="FFFFFF"/>
          </w:tcPr>
          <w:p w14:paraId="510C0378">
            <w:pPr>
              <w:widowControl w:val="0"/>
              <w:rPr>
                <w:bCs/>
                <w:sz w:val="28"/>
                <w:szCs w:val="28"/>
                <w:shd w:val="clear" w:color="auto" w:fill="FFFFFF"/>
                <w:lang w:val="vi-VN" w:eastAsia="vi-VN"/>
              </w:rPr>
            </w:pPr>
          </w:p>
        </w:tc>
        <w:tc>
          <w:tcPr>
            <w:tcW w:w="340" w:type="pct"/>
            <w:tcBorders>
              <w:top w:val="single" w:color="auto" w:sz="4" w:space="0"/>
              <w:left w:val="single" w:color="auto" w:sz="4" w:space="0"/>
              <w:bottom w:val="single" w:color="auto" w:sz="4" w:space="0"/>
              <w:right w:val="nil"/>
            </w:tcBorders>
            <w:shd w:val="clear" w:color="auto" w:fill="FFFFFF"/>
          </w:tcPr>
          <w:p w14:paraId="49DEEB30">
            <w:pPr>
              <w:widowControl w:val="0"/>
              <w:rPr>
                <w:bCs/>
                <w:sz w:val="28"/>
                <w:szCs w:val="28"/>
                <w:shd w:val="clear" w:color="auto" w:fill="FFFFFF"/>
                <w:lang w:val="vi-VN" w:eastAsia="vi-VN"/>
              </w:rPr>
            </w:pPr>
          </w:p>
        </w:tc>
        <w:tc>
          <w:tcPr>
            <w:tcW w:w="405" w:type="pct"/>
            <w:tcBorders>
              <w:top w:val="single" w:color="auto" w:sz="4" w:space="0"/>
              <w:left w:val="single" w:color="auto" w:sz="4" w:space="0"/>
              <w:bottom w:val="single" w:color="auto" w:sz="4" w:space="0"/>
              <w:right w:val="single" w:color="auto" w:sz="4" w:space="0"/>
            </w:tcBorders>
            <w:shd w:val="clear" w:color="auto" w:fill="FFFFFF"/>
          </w:tcPr>
          <w:p w14:paraId="7A2FDA33">
            <w:pPr>
              <w:widowControl w:val="0"/>
              <w:rPr>
                <w:bCs/>
                <w:sz w:val="28"/>
                <w:szCs w:val="28"/>
                <w:shd w:val="clear" w:color="auto" w:fill="FFFFFF"/>
                <w:lang w:val="vi-VN" w:eastAsia="vi-VN"/>
              </w:rPr>
            </w:pPr>
          </w:p>
        </w:tc>
        <w:tc>
          <w:tcPr>
            <w:tcW w:w="289" w:type="pct"/>
            <w:tcBorders>
              <w:top w:val="single" w:color="auto" w:sz="4" w:space="0"/>
              <w:left w:val="single" w:color="auto" w:sz="4" w:space="0"/>
              <w:bottom w:val="single" w:color="auto" w:sz="4" w:space="0"/>
              <w:right w:val="single" w:color="auto" w:sz="4" w:space="0"/>
            </w:tcBorders>
            <w:shd w:val="clear" w:color="auto" w:fill="FFFFFF"/>
          </w:tcPr>
          <w:p w14:paraId="4B5F5877">
            <w:pPr>
              <w:widowControl w:val="0"/>
              <w:rPr>
                <w:bCs/>
                <w:sz w:val="28"/>
                <w:szCs w:val="28"/>
                <w:shd w:val="clear" w:color="auto" w:fill="FFFFFF"/>
                <w:lang w:val="vi-VN" w:eastAsia="vi-VN"/>
              </w:rPr>
            </w:pPr>
          </w:p>
        </w:tc>
        <w:tc>
          <w:tcPr>
            <w:tcW w:w="289" w:type="pct"/>
            <w:tcBorders>
              <w:top w:val="single" w:color="auto" w:sz="4" w:space="0"/>
              <w:left w:val="single" w:color="auto" w:sz="4" w:space="0"/>
              <w:bottom w:val="single" w:color="auto" w:sz="4" w:space="0"/>
              <w:right w:val="nil"/>
            </w:tcBorders>
            <w:shd w:val="clear" w:color="auto" w:fill="FFFFFF"/>
          </w:tcPr>
          <w:p w14:paraId="2C5FC830">
            <w:pPr>
              <w:widowControl w:val="0"/>
              <w:rPr>
                <w:bCs/>
                <w:sz w:val="28"/>
                <w:szCs w:val="28"/>
                <w:shd w:val="clear" w:color="auto" w:fill="FFFFFF"/>
                <w:lang w:val="vi-VN" w:eastAsia="vi-VN"/>
              </w:rPr>
            </w:pPr>
          </w:p>
        </w:tc>
        <w:tc>
          <w:tcPr>
            <w:tcW w:w="414" w:type="pct"/>
            <w:tcBorders>
              <w:top w:val="single" w:color="auto" w:sz="4" w:space="0"/>
              <w:left w:val="single" w:color="auto" w:sz="4" w:space="0"/>
              <w:bottom w:val="single" w:color="auto" w:sz="4" w:space="0"/>
              <w:right w:val="nil"/>
            </w:tcBorders>
            <w:shd w:val="clear" w:color="auto" w:fill="FFFFFF"/>
          </w:tcPr>
          <w:p w14:paraId="22908039">
            <w:pPr>
              <w:widowControl w:val="0"/>
              <w:rPr>
                <w:bCs/>
                <w:sz w:val="28"/>
                <w:szCs w:val="28"/>
                <w:shd w:val="clear" w:color="auto" w:fill="FFFFFF"/>
                <w:lang w:val="vi-VN" w:eastAsia="vi-VN"/>
              </w:rPr>
            </w:pPr>
          </w:p>
        </w:tc>
        <w:tc>
          <w:tcPr>
            <w:tcW w:w="415" w:type="pct"/>
            <w:tcBorders>
              <w:top w:val="single" w:color="auto" w:sz="4" w:space="0"/>
              <w:left w:val="single" w:color="auto" w:sz="4" w:space="0"/>
              <w:bottom w:val="single" w:color="auto" w:sz="4" w:space="0"/>
              <w:right w:val="single" w:color="auto" w:sz="4" w:space="0"/>
            </w:tcBorders>
            <w:shd w:val="clear" w:color="auto" w:fill="FFFFFF"/>
          </w:tcPr>
          <w:p w14:paraId="2EEADA86">
            <w:pPr>
              <w:widowControl w:val="0"/>
              <w:rPr>
                <w:bCs/>
                <w:sz w:val="28"/>
                <w:szCs w:val="28"/>
                <w:shd w:val="clear" w:color="auto" w:fill="FFFFFF"/>
                <w:lang w:val="vi-VN" w:eastAsia="vi-VN"/>
              </w:rPr>
            </w:pPr>
          </w:p>
        </w:tc>
        <w:tc>
          <w:tcPr>
            <w:tcW w:w="398" w:type="pct"/>
            <w:tcBorders>
              <w:top w:val="single" w:color="auto" w:sz="4" w:space="0"/>
              <w:left w:val="single" w:color="auto" w:sz="4" w:space="0"/>
              <w:bottom w:val="single" w:color="auto" w:sz="4" w:space="0"/>
              <w:right w:val="single" w:color="auto" w:sz="4" w:space="0"/>
            </w:tcBorders>
            <w:shd w:val="clear" w:color="auto" w:fill="FFFFFF"/>
          </w:tcPr>
          <w:p w14:paraId="2CEB3C5B">
            <w:pPr>
              <w:widowControl w:val="0"/>
              <w:rPr>
                <w:bCs/>
                <w:sz w:val="28"/>
                <w:szCs w:val="28"/>
                <w:shd w:val="clear" w:color="auto" w:fill="FFFFFF"/>
                <w:lang w:val="vi-VN" w:eastAsia="vi-VN"/>
              </w:rPr>
            </w:pPr>
          </w:p>
        </w:tc>
      </w:tr>
    </w:tbl>
    <w:p w14:paraId="5DFB86B5">
      <w:pPr>
        <w:widowControl w:val="0"/>
        <w:spacing w:before="120" w:line="276" w:lineRule="auto"/>
        <w:ind w:firstLine="720"/>
        <w:jc w:val="both"/>
        <w:rPr>
          <w:bCs/>
          <w:i/>
          <w:iCs/>
          <w:sz w:val="28"/>
          <w:szCs w:val="28"/>
          <w:shd w:val="clear" w:color="auto" w:fill="FFFFFF"/>
          <w:lang w:eastAsia="vi-VN"/>
        </w:rPr>
      </w:pPr>
      <w:r>
        <w:rPr>
          <w:bCs/>
          <w:i/>
          <w:iCs/>
          <w:sz w:val="28"/>
          <w:szCs w:val="28"/>
          <w:shd w:val="clear" w:color="auto" w:fill="FFFFFF"/>
          <w:lang w:eastAsia="vi-VN"/>
        </w:rPr>
        <w:t>Hãng sản xuất, nhà cung cấp: Gửi kèm theo các tài liệu chứng minh về tính năng, thông số kỹ thuật, hợp đồng tương tự hoặc các tài liệu liên quan của thiết bị y tế (nếu có)</w:t>
      </w:r>
    </w:p>
    <w:p w14:paraId="6BBD730F">
      <w:pPr>
        <w:widowControl w:val="0"/>
        <w:spacing w:line="264" w:lineRule="auto"/>
        <w:ind w:firstLine="720"/>
        <w:jc w:val="both"/>
        <w:rPr>
          <w:sz w:val="28"/>
          <w:szCs w:val="28"/>
        </w:rPr>
      </w:pPr>
      <w:r>
        <w:rPr>
          <w:sz w:val="28"/>
          <w:szCs w:val="28"/>
        </w:rPr>
        <w:t>2. Báo giá đã bao gồm các loại thuế, phí, lệ phí (nếu có)….và các khoản chi phí khác có liên quan, bên mua không phải trả thêm bất kỳ khoản chi phí nào khác.</w:t>
      </w:r>
    </w:p>
    <w:p w14:paraId="51A86184">
      <w:pPr>
        <w:widowControl w:val="0"/>
        <w:spacing w:line="264" w:lineRule="auto"/>
        <w:ind w:firstLine="720"/>
        <w:jc w:val="both"/>
        <w:rPr>
          <w:rFonts w:eastAsia="Calibri"/>
          <w:sz w:val="28"/>
          <w:szCs w:val="28"/>
        </w:rPr>
      </w:pPr>
      <w:r>
        <w:rPr>
          <w:rFonts w:eastAsia="Calibri"/>
          <w:sz w:val="28"/>
          <w:szCs w:val="28"/>
        </w:rPr>
        <w:t>3. Hàng hóa mới 100%, bàn giao tại đơn vị sử dụng. Bảo hành theo tiêu chuẩn nhà sản xuất …. Tháng (nếu có).</w:t>
      </w:r>
    </w:p>
    <w:p w14:paraId="1B40CD2C">
      <w:pPr>
        <w:widowControl w:val="0"/>
        <w:spacing w:line="276" w:lineRule="auto"/>
        <w:ind w:firstLine="720"/>
        <w:jc w:val="both"/>
        <w:rPr>
          <w:bCs/>
          <w:sz w:val="28"/>
          <w:szCs w:val="28"/>
          <w:shd w:val="clear" w:color="auto" w:fill="FFFFFF"/>
          <w:lang w:eastAsia="vi-VN"/>
        </w:rPr>
      </w:pPr>
      <w:r>
        <w:rPr>
          <w:bCs/>
          <w:sz w:val="28"/>
          <w:szCs w:val="28"/>
          <w:shd w:val="clear" w:color="auto" w:fill="FFFFFF"/>
          <w:lang w:eastAsia="vi-VN"/>
        </w:rPr>
        <w:t>4. Báo giá này có hiệu lực trong vòng: 90 ngày, kể từ ngày 01/10/2026.</w:t>
      </w:r>
    </w:p>
    <w:p w14:paraId="48A1E56A">
      <w:pPr>
        <w:widowControl w:val="0"/>
        <w:spacing w:line="276" w:lineRule="auto"/>
        <w:ind w:firstLine="720"/>
        <w:jc w:val="both"/>
        <w:rPr>
          <w:bCs/>
          <w:i/>
          <w:iCs/>
          <w:sz w:val="28"/>
          <w:szCs w:val="28"/>
          <w:shd w:val="clear" w:color="auto" w:fill="FFFFFF"/>
          <w:lang w:eastAsia="vi-VN"/>
        </w:rPr>
      </w:pPr>
      <w:r>
        <w:rPr>
          <w:bCs/>
          <w:sz w:val="28"/>
          <w:szCs w:val="28"/>
          <w:shd w:val="clear" w:color="auto" w:fill="FFFFFF"/>
          <w:lang w:eastAsia="vi-VN"/>
        </w:rPr>
        <w:t>5. Chúng tôi cam kết:</w:t>
      </w:r>
    </w:p>
    <w:p w14:paraId="7A3ACE8C">
      <w:pPr>
        <w:widowControl w:val="0"/>
        <w:spacing w:line="276" w:lineRule="auto"/>
        <w:ind w:firstLine="720"/>
        <w:jc w:val="both"/>
        <w:rPr>
          <w:bCs/>
          <w:sz w:val="28"/>
          <w:szCs w:val="28"/>
          <w:shd w:val="clear" w:color="auto" w:fill="FFFFFF"/>
          <w:lang w:eastAsia="vi-VN"/>
        </w:rPr>
      </w:pPr>
      <w:r>
        <w:rPr>
          <w:bCs/>
          <w:sz w:val="28"/>
          <w:szCs w:val="28"/>
          <w:shd w:val="clear" w:color="auto" w:fill="FFFFFF"/>
          <w:lang w:eastAsia="vi-VN"/>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6759B336">
      <w:pPr>
        <w:widowControl w:val="0"/>
        <w:spacing w:line="276" w:lineRule="auto"/>
        <w:ind w:firstLine="720"/>
        <w:jc w:val="both"/>
        <w:rPr>
          <w:bCs/>
          <w:sz w:val="28"/>
          <w:szCs w:val="28"/>
          <w:shd w:val="clear" w:color="auto" w:fill="FFFFFF"/>
          <w:lang w:eastAsia="vi-VN"/>
        </w:rPr>
      </w:pPr>
      <w:r>
        <w:rPr>
          <w:bCs/>
          <w:sz w:val="28"/>
          <w:szCs w:val="28"/>
          <w:shd w:val="clear" w:color="auto" w:fill="FFFFFF"/>
          <w:lang w:eastAsia="vi-VN"/>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7936A65B">
      <w:pPr>
        <w:widowControl w:val="0"/>
        <w:spacing w:line="276" w:lineRule="auto"/>
        <w:jc w:val="right"/>
        <w:rPr>
          <w:bCs/>
          <w:sz w:val="28"/>
          <w:szCs w:val="28"/>
          <w:shd w:val="clear" w:color="auto" w:fill="FFFFFF"/>
          <w:lang w:val="vi-VN" w:eastAsia="vi-VN"/>
        </w:rPr>
      </w:pPr>
      <w:r>
        <w:rPr>
          <w:bCs/>
          <w:i/>
          <w:iCs/>
          <w:sz w:val="28"/>
          <w:szCs w:val="28"/>
          <w:shd w:val="clear" w:color="auto" w:fill="FFFFFF"/>
          <w:lang w:eastAsia="vi-VN"/>
        </w:rPr>
        <w:t>….</w:t>
      </w:r>
      <w:r>
        <w:rPr>
          <w:bCs/>
          <w:i/>
          <w:iCs/>
          <w:sz w:val="28"/>
          <w:szCs w:val="28"/>
          <w:shd w:val="clear" w:color="auto" w:fill="FFFFFF"/>
          <w:lang w:val="vi-VN" w:eastAsia="vi-VN"/>
        </w:rPr>
        <w:t>, ngày.... tháng....năm....</w:t>
      </w:r>
    </w:p>
    <w:p w14:paraId="22C8F85C">
      <w:pPr>
        <w:widowControl w:val="0"/>
        <w:spacing w:line="276" w:lineRule="auto"/>
        <w:jc w:val="right"/>
        <w:rPr>
          <w:b/>
          <w:bCs/>
          <w:i/>
          <w:iCs/>
          <w:sz w:val="28"/>
          <w:szCs w:val="28"/>
          <w:shd w:val="clear" w:color="auto" w:fill="FFFFFF"/>
          <w:lang w:eastAsia="vi-VN"/>
        </w:rPr>
      </w:pPr>
      <w:r>
        <w:rPr>
          <w:b/>
          <w:bCs/>
          <w:sz w:val="28"/>
          <w:szCs w:val="28"/>
          <w:shd w:val="clear" w:color="auto" w:fill="FFFFFF"/>
          <w:lang w:val="vi-VN" w:eastAsia="vi-VN"/>
        </w:rPr>
        <w:t>Đại diện hợp pháp của hãng sản xuất, nhà cung cấp</w:t>
      </w:r>
    </w:p>
    <w:p w14:paraId="76208AF2">
      <w:pPr>
        <w:widowControl w:val="0"/>
        <w:spacing w:line="276" w:lineRule="auto"/>
        <w:jc w:val="right"/>
        <w:rPr>
          <w:sz w:val="28"/>
          <w:szCs w:val="28"/>
        </w:rPr>
      </w:pPr>
      <w:r>
        <w:rPr>
          <w:bCs/>
          <w:sz w:val="28"/>
          <w:szCs w:val="28"/>
          <w:shd w:val="clear" w:color="auto" w:fill="FFFFFF"/>
          <w:lang w:val="vi-VN" w:eastAsia="vi-VN"/>
        </w:rPr>
        <w:t>(Ký tên, đóng d</w:t>
      </w:r>
      <w:r>
        <w:rPr>
          <w:bCs/>
          <w:sz w:val="28"/>
          <w:szCs w:val="28"/>
          <w:shd w:val="clear" w:color="auto" w:fill="FFFFFF"/>
          <w:lang w:eastAsia="vi-VN"/>
        </w:rPr>
        <w:t>ấ</w:t>
      </w:r>
      <w:r>
        <w:rPr>
          <w:bCs/>
          <w:sz w:val="28"/>
          <w:szCs w:val="28"/>
          <w:shd w:val="clear" w:color="auto" w:fill="FFFFFF"/>
          <w:lang w:val="vi-VN" w:eastAsia="vi-VN"/>
        </w:rPr>
        <w:t>u (n</w:t>
      </w:r>
      <w:r>
        <w:rPr>
          <w:bCs/>
          <w:sz w:val="28"/>
          <w:szCs w:val="28"/>
          <w:shd w:val="clear" w:color="auto" w:fill="FFFFFF"/>
          <w:lang w:eastAsia="vi-VN"/>
        </w:rPr>
        <w:t>ế</w:t>
      </w:r>
      <w:r>
        <w:rPr>
          <w:bCs/>
          <w:sz w:val="28"/>
          <w:szCs w:val="28"/>
          <w:shd w:val="clear" w:color="auto" w:fill="FFFFFF"/>
          <w:lang w:val="vi-VN" w:eastAsia="vi-VN"/>
        </w:rPr>
        <w:t>u có))</w:t>
      </w:r>
    </w:p>
    <w:sectPr>
      <w:pgSz w:w="11909" w:h="16834"/>
      <w:pgMar w:top="1021" w:right="1021" w:bottom="907" w:left="141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Tahoma">
    <w:panose1 w:val="020B0604030504040204"/>
    <w:charset w:val="00"/>
    <w:family w:val="swiss"/>
    <w:pitch w:val="default"/>
    <w:sig w:usb0="E1002EFF" w:usb1="C000605B" w:usb2="00000029" w:usb3="00000000" w:csb0="200101FF" w:csb1="20280000"/>
  </w:font>
  <w:font w:name="TimesNewRomanPSMT">
    <w:altName w:val="Times New Roman"/>
    <w:panose1 w:val="00000000000000000000"/>
    <w:charset w:val="00"/>
    <w:family w:val="roman"/>
    <w:pitch w:val="default"/>
    <w:sig w:usb0="00000000" w:usb1="00000000" w:usb2="00000000" w:usb3="00000000" w:csb0="00000000" w:csb1="00000000"/>
  </w:font>
  <w:font w:name="Aptos Narrow">
    <w:altName w:val="Arial"/>
    <w:panose1 w:val="00000000000000000000"/>
    <w:charset w:val="00"/>
    <w:family w:val="swiss"/>
    <w:pitch w:val="default"/>
    <w:sig w:usb0="00000000" w:usb1="00000000"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documentProtection w:enforcement="0"/>
  <w:defaultTabStop w:val="720"/>
  <w:drawingGridHorizontalSpacing w:val="110"/>
  <w:displayHorizontalDrawingGridEvery w:val="2"/>
  <w:displayVerticalDrawingGridEvery w:val="2"/>
  <w:characterSpacingControl w:val="doNotCompress"/>
  <w:footnotePr>
    <w:numStart w:val="2"/>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167"/>
    <w:rsid w:val="00146E69"/>
    <w:rsid w:val="00166AAB"/>
    <w:rsid w:val="001B5A21"/>
    <w:rsid w:val="00785048"/>
    <w:rsid w:val="007E286E"/>
    <w:rsid w:val="00896167"/>
    <w:rsid w:val="00C92F79"/>
    <w:rsid w:val="00DB0F33"/>
    <w:rsid w:val="00E60810"/>
    <w:rsid w:val="00E87A5B"/>
    <w:rsid w:val="00F451B5"/>
    <w:rsid w:val="395A6E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34"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0"/>
    <w:semiHidden/>
    <w:unhideWhenUsed/>
    <w:qFormat/>
    <w:uiPriority w:val="99"/>
    <w:rPr>
      <w:rFonts w:ascii="Segoe UI" w:hAnsi="Segoe UI" w:cs="Segoe UI" w:eastAsiaTheme="minorHAnsi"/>
      <w:sz w:val="18"/>
      <w:szCs w:val="18"/>
    </w:rPr>
  </w:style>
  <w:style w:type="character" w:styleId="5">
    <w:name w:val="annotation reference"/>
    <w:basedOn w:val="2"/>
    <w:unhideWhenUsed/>
    <w:uiPriority w:val="0"/>
    <w:rPr>
      <w:sz w:val="16"/>
      <w:szCs w:val="16"/>
    </w:rPr>
  </w:style>
  <w:style w:type="paragraph" w:styleId="6">
    <w:name w:val="annotation text"/>
    <w:basedOn w:val="1"/>
    <w:link w:val="18"/>
    <w:unhideWhenUsed/>
    <w:uiPriority w:val="0"/>
    <w:pPr>
      <w:spacing w:after="160"/>
    </w:pPr>
    <w:rPr>
      <w:rFonts w:asciiTheme="minorHAnsi" w:hAnsiTheme="minorHAnsi" w:eastAsiaTheme="minorHAnsi" w:cstheme="minorBidi"/>
      <w:sz w:val="20"/>
      <w:szCs w:val="20"/>
    </w:rPr>
  </w:style>
  <w:style w:type="paragraph" w:styleId="7">
    <w:name w:val="annotation subject"/>
    <w:basedOn w:val="6"/>
    <w:next w:val="6"/>
    <w:link w:val="19"/>
    <w:unhideWhenUsed/>
    <w:uiPriority w:val="0"/>
    <w:rPr>
      <w:b/>
      <w:bCs/>
    </w:rPr>
  </w:style>
  <w:style w:type="paragraph" w:styleId="8">
    <w:name w:val="footer"/>
    <w:basedOn w:val="1"/>
    <w:link w:val="17"/>
    <w:unhideWhenUsed/>
    <w:qFormat/>
    <w:uiPriority w:val="99"/>
    <w:pPr>
      <w:tabs>
        <w:tab w:val="center" w:pos="4680"/>
        <w:tab w:val="right" w:pos="9360"/>
      </w:tabs>
    </w:pPr>
    <w:rPr>
      <w:rFonts w:asciiTheme="minorHAnsi" w:hAnsiTheme="minorHAnsi" w:eastAsiaTheme="minorHAnsi" w:cstheme="minorBidi"/>
      <w:sz w:val="22"/>
      <w:szCs w:val="22"/>
    </w:rPr>
  </w:style>
  <w:style w:type="paragraph" w:styleId="9">
    <w:name w:val="header"/>
    <w:basedOn w:val="1"/>
    <w:link w:val="16"/>
    <w:unhideWhenUsed/>
    <w:qFormat/>
    <w:uiPriority w:val="99"/>
    <w:pPr>
      <w:tabs>
        <w:tab w:val="center" w:pos="4680"/>
        <w:tab w:val="right" w:pos="9360"/>
      </w:tabs>
    </w:pPr>
    <w:rPr>
      <w:rFonts w:asciiTheme="minorHAnsi" w:hAnsiTheme="minorHAnsi" w:eastAsiaTheme="minorHAnsi" w:cstheme="minorBidi"/>
      <w:sz w:val="22"/>
      <w:szCs w:val="22"/>
    </w:rPr>
  </w:style>
  <w:style w:type="character" w:styleId="10">
    <w:name w:val="Hyperlink"/>
    <w:basedOn w:val="2"/>
    <w:unhideWhenUsed/>
    <w:qFormat/>
    <w:uiPriority w:val="99"/>
    <w:rPr>
      <w:color w:val="0563C1" w:themeColor="hyperlink"/>
      <w:u w:val="single"/>
      <w14:textFill>
        <w14:solidFill>
          <w14:schemeClr w14:val="hlink"/>
        </w14:solidFill>
      </w14:textFill>
    </w:rPr>
  </w:style>
  <w:style w:type="paragraph" w:styleId="11">
    <w:name w:val="Normal (Web)"/>
    <w:basedOn w:val="1"/>
    <w:unhideWhenUsed/>
    <w:uiPriority w:val="0"/>
    <w:pPr>
      <w:spacing w:before="100" w:beforeAutospacing="1" w:after="100" w:afterAutospacing="1"/>
    </w:pPr>
    <w:rPr>
      <w:lang w:val="vi-VN" w:eastAsia="vi-VN"/>
    </w:rPr>
  </w:style>
  <w:style w:type="character" w:styleId="12">
    <w:name w:val="Strong"/>
    <w:basedOn w:val="2"/>
    <w:qFormat/>
    <w:uiPriority w:val="22"/>
    <w:rPr>
      <w:b/>
      <w:bCs/>
    </w:rPr>
  </w:style>
  <w:style w:type="table" w:styleId="13">
    <w:name w:val="Table Grid"/>
    <w:basedOn w:val="3"/>
    <w:qFormat/>
    <w:uiPriority w:val="0"/>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4">
    <w:name w:val="Colorful List Accent 1"/>
    <w:basedOn w:val="3"/>
    <w:qFormat/>
    <w:uiPriority w:val="34"/>
    <w:pPr>
      <w:spacing w:after="0" w:line="240" w:lineRule="auto"/>
    </w:pPr>
    <w:rPr>
      <w:color w:val="000000"/>
    </w:rPr>
    <w:tblPr>
      <w:tblStyleRowBandSize w:val="1"/>
      <w:tblStyleColBandSize w:val="1"/>
    </w:tblPr>
    <w:tcPr>
      <w:shd w:val="clear" w:color="auto" w:fill="ECF1F9"/>
    </w:tcPr>
    <w:tblStylePr w:type="firstRow">
      <w:rPr>
        <w:b/>
        <w:bCs/>
        <w:color w:val="FFFFFF"/>
      </w:rPr>
      <w:tblPr/>
      <w:tcPr>
        <w:tcBorders>
          <w:bottom w:val="single" w:color="FFFFFF" w:sz="12" w:space="0"/>
        </w:tcBorders>
        <w:shd w:val="clear" w:color="auto" w:fill="D25F12"/>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styleId="15">
    <w:name w:val="List Paragraph"/>
    <w:basedOn w:val="1"/>
    <w:link w:val="26"/>
    <w:qFormat/>
    <w:uiPriority w:val="1"/>
    <w:pPr>
      <w:spacing w:after="160" w:line="259" w:lineRule="auto"/>
      <w:ind w:left="720"/>
      <w:contextualSpacing/>
    </w:pPr>
    <w:rPr>
      <w:rFonts w:asciiTheme="minorHAnsi" w:hAnsiTheme="minorHAnsi" w:eastAsiaTheme="minorHAnsi" w:cstheme="minorBidi"/>
      <w:sz w:val="22"/>
      <w:szCs w:val="22"/>
    </w:rPr>
  </w:style>
  <w:style w:type="character" w:customStyle="1" w:styleId="16">
    <w:name w:val="Header Char"/>
    <w:basedOn w:val="2"/>
    <w:link w:val="9"/>
    <w:qFormat/>
    <w:uiPriority w:val="99"/>
  </w:style>
  <w:style w:type="character" w:customStyle="1" w:styleId="17">
    <w:name w:val="Footer Char"/>
    <w:basedOn w:val="2"/>
    <w:link w:val="8"/>
    <w:qFormat/>
    <w:uiPriority w:val="99"/>
  </w:style>
  <w:style w:type="character" w:customStyle="1" w:styleId="18">
    <w:name w:val="Comment Text Char"/>
    <w:basedOn w:val="2"/>
    <w:link w:val="6"/>
    <w:uiPriority w:val="0"/>
    <w:rPr>
      <w:sz w:val="20"/>
      <w:szCs w:val="20"/>
    </w:rPr>
  </w:style>
  <w:style w:type="character" w:customStyle="1" w:styleId="19">
    <w:name w:val="Comment Subject Char"/>
    <w:basedOn w:val="18"/>
    <w:link w:val="7"/>
    <w:uiPriority w:val="0"/>
    <w:rPr>
      <w:b/>
      <w:bCs/>
      <w:sz w:val="20"/>
      <w:szCs w:val="20"/>
    </w:rPr>
  </w:style>
  <w:style w:type="character" w:customStyle="1" w:styleId="20">
    <w:name w:val="Balloon Text Char"/>
    <w:basedOn w:val="2"/>
    <w:link w:val="4"/>
    <w:semiHidden/>
    <w:qFormat/>
    <w:uiPriority w:val="99"/>
    <w:rPr>
      <w:rFonts w:ascii="Segoe UI" w:hAnsi="Segoe UI" w:cs="Segoe UI"/>
      <w:sz w:val="18"/>
      <w:szCs w:val="18"/>
    </w:rPr>
  </w:style>
  <w:style w:type="paragraph" w:customStyle="1" w:styleId="21">
    <w:name w:val="Char Char Char Char"/>
    <w:basedOn w:val="1"/>
    <w:semiHidden/>
    <w:qFormat/>
    <w:uiPriority w:val="0"/>
    <w:pPr>
      <w:spacing w:after="160" w:line="240" w:lineRule="exact"/>
    </w:pPr>
    <w:rPr>
      <w:rFonts w:ascii="Arial" w:hAnsi="Arial"/>
      <w:sz w:val="22"/>
      <w:szCs w:val="22"/>
    </w:rPr>
  </w:style>
  <w:style w:type="paragraph" w:customStyle="1" w:styleId="22">
    <w:name w:val="Char Char Char Char Char Char Char Char Char Char"/>
    <w:basedOn w:val="1"/>
    <w:uiPriority w:val="0"/>
    <w:pPr>
      <w:spacing w:after="160" w:line="240" w:lineRule="exact"/>
    </w:pPr>
    <w:rPr>
      <w:rFonts w:ascii="Tahoma" w:hAnsi="Tahoma"/>
      <w:sz w:val="20"/>
      <w:szCs w:val="20"/>
      <w:lang w:val="en-GB"/>
    </w:rPr>
  </w:style>
  <w:style w:type="character" w:customStyle="1" w:styleId="23">
    <w:name w:val="fontstyle01"/>
    <w:uiPriority w:val="0"/>
    <w:rPr>
      <w:rFonts w:hint="default" w:ascii="Times New Roman" w:hAnsi="Times New Roman" w:cs="Times New Roman"/>
      <w:color w:val="000000"/>
      <w:sz w:val="26"/>
      <w:szCs w:val="26"/>
    </w:rPr>
  </w:style>
  <w:style w:type="character" w:customStyle="1" w:styleId="24">
    <w:name w:val="fontstyle21"/>
    <w:uiPriority w:val="0"/>
    <w:rPr>
      <w:rFonts w:hint="default" w:ascii="Arial" w:hAnsi="Arial" w:cs="Arial"/>
      <w:color w:val="727073"/>
      <w:sz w:val="18"/>
      <w:szCs w:val="18"/>
    </w:rPr>
  </w:style>
  <w:style w:type="table" w:customStyle="1" w:styleId="25">
    <w:name w:val="Table Grid1"/>
    <w:basedOn w:val="3"/>
    <w:qFormat/>
    <w:uiPriority w:val="39"/>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6">
    <w:name w:val="List Paragraph Char"/>
    <w:link w:val="15"/>
    <w:qFormat/>
    <w:locked/>
    <w:uiPriority w:val="34"/>
  </w:style>
  <w:style w:type="character" w:customStyle="1" w:styleId="27">
    <w:name w:val="Colorful List - Accent 1 Char"/>
    <w:uiPriority w:val="34"/>
  </w:style>
  <w:style w:type="paragraph" w:styleId="28">
    <w:name w:val="No Spacing"/>
    <w:qFormat/>
    <w:uiPriority w:val="1"/>
    <w:pPr>
      <w:spacing w:after="0" w:line="240" w:lineRule="auto"/>
    </w:pPr>
    <w:rPr>
      <w:rFonts w:ascii="Calibri" w:hAnsi="Calibri" w:eastAsia="Calibri" w:cs="Times New Roman"/>
      <w:sz w:val="22"/>
      <w:szCs w:val="22"/>
      <w:lang w:val="en-US" w:eastAsia="en-US" w:bidi="ar-SA"/>
    </w:rPr>
  </w:style>
  <w:style w:type="character" w:customStyle="1" w:styleId="29">
    <w:name w:val="font71"/>
    <w:qFormat/>
    <w:uiPriority w:val="0"/>
    <w:rPr>
      <w:rFonts w:hint="default" w:ascii="Times New Roman" w:hAnsi="Times New Roman" w:cs="Times New Roman"/>
      <w:color w:val="FF0000"/>
      <w:sz w:val="28"/>
      <w:szCs w:val="28"/>
      <w:u w:val="none"/>
    </w:rPr>
  </w:style>
  <w:style w:type="character" w:customStyle="1" w:styleId="30">
    <w:name w:val="font81"/>
    <w:qFormat/>
    <w:uiPriority w:val="0"/>
    <w:rPr>
      <w:rFonts w:ascii="Calibri" w:hAnsi="Calibri" w:cs="Calibri"/>
      <w:color w:val="0000CC"/>
      <w:sz w:val="28"/>
      <w:szCs w:val="28"/>
      <w:u w:val="none"/>
    </w:rPr>
  </w:style>
  <w:style w:type="paragraph" w:customStyle="1" w:styleId="31">
    <w:name w:val="Table Paragraph"/>
    <w:basedOn w:val="1"/>
    <w:qFormat/>
    <w:uiPriority w:val="1"/>
    <w:pPr>
      <w:widowControl w:val="0"/>
      <w:autoSpaceDE w:val="0"/>
      <w:autoSpaceDN w:val="0"/>
    </w:pPr>
    <w:rPr>
      <w:sz w:val="22"/>
      <w:szCs w:val="22"/>
      <w:lang w:val="v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04FDC-9097-4D6B-A7C7-9CCE946E64D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1628</Words>
  <Characters>5624</Characters>
  <Lines>52</Lines>
  <Paragraphs>14</Paragraphs>
  <TotalTime>166</TotalTime>
  <ScaleCrop>false</ScaleCrop>
  <LinksUpToDate>false</LinksUpToDate>
  <CharactersWithSpaces>7177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2026-09-18T04:10:00Z</dcterms:created>
  <dc:creator>Admin</dc:creator>
  <cp:lastModifiedBy>Truong Hoang Hiep</cp:lastModifiedBy>
  <cp:lastPrinted>2024-03-19T03:16:00Z</cp:lastPrinted>
  <dcterms:modified xsi:type="dcterms:W3CDTF">2026-09-22T09:43:09Z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eyJoZGlkIjoiOTI5NzlhZmJlN2MyY2IzNDU5YmRiYWE1NjQyYjM1ZmYiLCJ1c2VySWQiOiIxMzkxODMwMzk4NjUyIn0=</vt:lpwstr>
  </property>
  <property fmtid="{D5CDD505-2E9C-101B-9397-08002B2CF9AE}" pid="3" name="KSOProductBuildVer">
    <vt:lpwstr>1033-12.1.0.28485</vt:lpwstr>
  </property>
  <property fmtid="{D5CDD505-2E9C-101B-9397-08002B2CF9AE}" pid="4" name="ICV">
    <vt:lpwstr>6C7B1C3A80AA4FD98002CE0C26671972_12</vt:lpwstr>
  </property>
</Properties>
</file>